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26048" w14:textId="3368130D" w:rsidR="00641F66" w:rsidRPr="004966D8" w:rsidRDefault="00DE4B43" w:rsidP="00615B0F">
      <w:pPr>
        <w:pStyle w:val="Heading1"/>
        <w:spacing w:line="360" w:lineRule="auto"/>
      </w:pPr>
      <w:bookmarkStart w:id="0" w:name="_GoBack"/>
      <w:bookmarkEnd w:id="0"/>
      <w:r>
        <w:t xml:space="preserve">supplementary </w:t>
      </w:r>
      <w:r w:rsidR="00641F66" w:rsidRPr="004966D8">
        <w:t>Tables</w:t>
      </w:r>
    </w:p>
    <w:p w14:paraId="727C9145" w14:textId="5A1D1AFA" w:rsidR="00DF1A87" w:rsidRPr="004966D8" w:rsidRDefault="00A17222" w:rsidP="00DF1A87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Supplementary t</w:t>
      </w:r>
      <w:r w:rsidR="00DF1A87" w:rsidRPr="004966D8">
        <w:rPr>
          <w:rFonts w:cs="Times New Roman"/>
          <w:b/>
        </w:rPr>
        <w:t xml:space="preserve">able </w:t>
      </w:r>
      <w:r w:rsidR="00DF1A87">
        <w:rPr>
          <w:rFonts w:cs="Times New Roman"/>
          <w:b/>
        </w:rPr>
        <w:t>1</w:t>
      </w:r>
      <w:r w:rsidR="00DF1A87" w:rsidRPr="004966D8">
        <w:rPr>
          <w:rFonts w:cs="Times New Roman"/>
          <w:b/>
        </w:rPr>
        <w:t xml:space="preserve"> </w:t>
      </w:r>
      <w:r w:rsidR="00DF1A87" w:rsidRPr="001A6BA2">
        <w:rPr>
          <w:rFonts w:cs="Times New Roman"/>
        </w:rPr>
        <w:t xml:space="preserve">An </w:t>
      </w:r>
      <w:r w:rsidR="00DF1A87">
        <w:rPr>
          <w:rFonts w:cs="Times New Roman"/>
        </w:rPr>
        <w:t>o</w:t>
      </w:r>
      <w:r w:rsidR="00DF1A87" w:rsidRPr="006F2280">
        <w:rPr>
          <w:rFonts w:cs="Times New Roman"/>
        </w:rPr>
        <w:t xml:space="preserve">verview of </w:t>
      </w:r>
      <w:r w:rsidR="00DF1A87">
        <w:rPr>
          <w:rFonts w:cs="Times New Roman"/>
        </w:rPr>
        <w:t>all inclusion and exclusion criteria</w:t>
      </w:r>
    </w:p>
    <w:tbl>
      <w:tblPr>
        <w:tblStyle w:val="TableGrid"/>
        <w:tblW w:w="13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3"/>
      </w:tblGrid>
      <w:tr w:rsidR="00DF1A87" w:rsidRPr="004966D8" w14:paraId="37D0DED4" w14:textId="77777777" w:rsidTr="00016F68">
        <w:tc>
          <w:tcPr>
            <w:tcW w:w="13783" w:type="dxa"/>
            <w:tcBorders>
              <w:top w:val="single" w:sz="4" w:space="0" w:color="auto"/>
              <w:bottom w:val="single" w:sz="4" w:space="0" w:color="auto"/>
            </w:tcBorders>
          </w:tcPr>
          <w:p w14:paraId="2FDDF31D" w14:textId="77777777" w:rsidR="00DF1A87" w:rsidRDefault="00DF1A87" w:rsidP="00016F68">
            <w:pPr>
              <w:spacing w:line="276" w:lineRule="auto"/>
              <w:rPr>
                <w:rFonts w:cs="Times New Roman"/>
                <w:b/>
              </w:rPr>
            </w:pPr>
            <w:r w:rsidRPr="003530A5">
              <w:rPr>
                <w:rFonts w:cs="Times New Roman"/>
                <w:b/>
              </w:rPr>
              <w:t>Inclusion criteria</w:t>
            </w:r>
          </w:p>
          <w:p w14:paraId="70C45A80" w14:textId="77777777" w:rsidR="00DF1A87" w:rsidRPr="004966D8" w:rsidRDefault="00DF1A87" w:rsidP="00016F68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F1A87" w:rsidRPr="004966D8" w14:paraId="5E9EA0A3" w14:textId="77777777" w:rsidTr="00016F68">
        <w:tc>
          <w:tcPr>
            <w:tcW w:w="13783" w:type="dxa"/>
            <w:tcBorders>
              <w:bottom w:val="single" w:sz="4" w:space="0" w:color="auto"/>
            </w:tcBorders>
          </w:tcPr>
          <w:p w14:paraId="63014E72" w14:textId="77777777" w:rsidR="00DF1A87" w:rsidRPr="00AE47EE" w:rsidRDefault="00DF1A87" w:rsidP="00016F68">
            <w:pPr>
              <w:spacing w:line="276" w:lineRule="auto"/>
              <w:rPr>
                <w:rFonts w:cs="Times New Roman"/>
                <w:i/>
              </w:rPr>
            </w:pPr>
            <w:r w:rsidRPr="00AE47EE">
              <w:rPr>
                <w:rFonts w:cs="Times New Roman"/>
                <w:i/>
              </w:rPr>
              <w:t>All three trials had the following inclusion criteria</w:t>
            </w:r>
          </w:p>
          <w:p w14:paraId="442B46AD" w14:textId="77777777" w:rsidR="00DF1A87" w:rsidRPr="003530A5" w:rsidRDefault="00DF1A87" w:rsidP="00DF1A87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cs="Times New Roman"/>
              </w:rPr>
            </w:pPr>
            <w:r w:rsidRPr="003530A5">
              <w:rPr>
                <w:rFonts w:cs="Times New Roman"/>
              </w:rPr>
              <w:t xml:space="preserve">Written </w:t>
            </w:r>
            <w:r>
              <w:rPr>
                <w:rFonts w:cs="Times New Roman"/>
              </w:rPr>
              <w:t>informed consent</w:t>
            </w:r>
            <w:r w:rsidRPr="003530A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before</w:t>
            </w:r>
            <w:r w:rsidRPr="003530A5">
              <w:rPr>
                <w:rFonts w:cs="Times New Roman"/>
              </w:rPr>
              <w:t xml:space="preserve"> performing any study-specific tests or procedures</w:t>
            </w:r>
          </w:p>
          <w:p w14:paraId="4B433DD4" w14:textId="77777777" w:rsidR="00DF1A87" w:rsidRPr="003530A5" w:rsidRDefault="00DF1A87" w:rsidP="00DF1A87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cs="Times New Roman"/>
              </w:rPr>
            </w:pPr>
            <w:r w:rsidRPr="003530A5">
              <w:rPr>
                <w:rFonts w:cs="Times New Roman"/>
              </w:rPr>
              <w:t>Body weight (after dialysis) &gt;40 and ≤160 kg at screening</w:t>
            </w:r>
          </w:p>
          <w:p w14:paraId="6DA7C5D4" w14:textId="77777777" w:rsidR="00DF1A87" w:rsidRPr="003530A5" w:rsidRDefault="00DF1A87" w:rsidP="00DF1A87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cs="Times New Roman"/>
              </w:rPr>
            </w:pPr>
            <w:r w:rsidRPr="003530A5">
              <w:rPr>
                <w:rFonts w:cs="Times New Roman"/>
              </w:rPr>
              <w:t>Male or female ≥20 years of age at screening</w:t>
            </w:r>
          </w:p>
          <w:p w14:paraId="585D51B9" w14:textId="77777777" w:rsidR="00DF1A87" w:rsidRPr="003530A5" w:rsidRDefault="00DF1A87" w:rsidP="00DF1A87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cs="Times New Roman"/>
              </w:rPr>
            </w:pPr>
            <w:r w:rsidRPr="003530A5">
              <w:rPr>
                <w:rFonts w:cs="Times New Roman"/>
              </w:rPr>
              <w:t>At least one kidney</w:t>
            </w:r>
          </w:p>
          <w:p w14:paraId="0F14FBDA" w14:textId="77777777" w:rsidR="00DF1A87" w:rsidRPr="003530A5" w:rsidRDefault="00DF1A87" w:rsidP="00DF1A87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cs="Times New Roman"/>
              </w:rPr>
            </w:pPr>
            <w:r w:rsidRPr="003530A5">
              <w:rPr>
                <w:rFonts w:cs="Times New Roman"/>
              </w:rPr>
              <w:t>Serum folate level and serum vitamin B12 level above LLN at</w:t>
            </w:r>
            <w:r>
              <w:rPr>
                <w:rFonts w:cs="Times New Roman"/>
              </w:rPr>
              <w:t xml:space="preserve"> </w:t>
            </w:r>
            <w:r w:rsidRPr="003530A5">
              <w:rPr>
                <w:rFonts w:cs="Times New Roman"/>
              </w:rPr>
              <w:t>screening</w:t>
            </w:r>
          </w:p>
          <w:p w14:paraId="330EA546" w14:textId="77777777" w:rsidR="00DF1A87" w:rsidRPr="003530A5" w:rsidRDefault="00DF1A87" w:rsidP="00DF1A87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cs="Times New Roman"/>
              </w:rPr>
            </w:pPr>
            <w:r w:rsidRPr="003530A5">
              <w:rPr>
                <w:rFonts w:cs="Times New Roman"/>
              </w:rPr>
              <w:t>Women of reproductive potential must agree to use adequate contraception when</w:t>
            </w:r>
            <w:r>
              <w:rPr>
                <w:rFonts w:cs="Times New Roman"/>
              </w:rPr>
              <w:t xml:space="preserve"> </w:t>
            </w:r>
            <w:r w:rsidRPr="003530A5">
              <w:rPr>
                <w:rFonts w:cs="Times New Roman"/>
              </w:rPr>
              <w:t>sexually active. This applies for the time period between signing of the informed</w:t>
            </w:r>
            <w:r>
              <w:rPr>
                <w:rFonts w:cs="Times New Roman"/>
              </w:rPr>
              <w:t xml:space="preserve"> </w:t>
            </w:r>
            <w:r w:rsidRPr="003530A5">
              <w:rPr>
                <w:rFonts w:cs="Times New Roman"/>
              </w:rPr>
              <w:t>consent form until 12 weeks after the last administration of</w:t>
            </w:r>
            <w:r>
              <w:rPr>
                <w:rFonts w:cs="Times New Roman"/>
              </w:rPr>
              <w:t xml:space="preserve"> the</w:t>
            </w:r>
            <w:r w:rsidRPr="003530A5">
              <w:rPr>
                <w:rFonts w:cs="Times New Roman"/>
              </w:rPr>
              <w:t xml:space="preserve"> study drug.</w:t>
            </w:r>
          </w:p>
          <w:p w14:paraId="53E7486B" w14:textId="77777777" w:rsidR="00DF1A87" w:rsidRPr="00765815" w:rsidRDefault="00DF1A87" w:rsidP="00DF1A87">
            <w:pPr>
              <w:pStyle w:val="ListParagraph"/>
              <w:numPr>
                <w:ilvl w:val="1"/>
                <w:numId w:val="42"/>
              </w:numPr>
              <w:spacing w:line="276" w:lineRule="auto"/>
              <w:rPr>
                <w:rFonts w:cs="Times New Roman"/>
              </w:rPr>
            </w:pPr>
            <w:r w:rsidRPr="003530A5">
              <w:rPr>
                <w:rFonts w:cs="Times New Roman"/>
              </w:rPr>
              <w:t>Acceptable methods of contraception may include, but are not limited to,</w:t>
            </w:r>
            <w:r>
              <w:rPr>
                <w:rFonts w:cs="Times New Roman"/>
              </w:rPr>
              <w:t xml:space="preserve"> </w:t>
            </w:r>
            <w:r w:rsidRPr="003530A5">
              <w:rPr>
                <w:rFonts w:cs="Times New Roman"/>
              </w:rPr>
              <w:t>condoms (male or female) with or without a spermicidal agent; diaphragm or</w:t>
            </w:r>
            <w:r>
              <w:rPr>
                <w:rFonts w:cs="Times New Roman"/>
              </w:rPr>
              <w:t xml:space="preserve"> </w:t>
            </w:r>
            <w:r w:rsidRPr="00765815">
              <w:rPr>
                <w:rFonts w:cs="Times New Roman"/>
              </w:rPr>
              <w:t>cervical cap with spermicide; intra-uterine device; hormone-based contraception</w:t>
            </w:r>
            <w:r>
              <w:rPr>
                <w:rFonts w:cs="Times New Roman"/>
              </w:rPr>
              <w:t>.</w:t>
            </w:r>
          </w:p>
          <w:p w14:paraId="6AD2107A" w14:textId="77777777" w:rsidR="00DF1A87" w:rsidRPr="003530A5" w:rsidRDefault="00DF1A87" w:rsidP="00DF1A87">
            <w:pPr>
              <w:pStyle w:val="ListParagraph"/>
              <w:numPr>
                <w:ilvl w:val="1"/>
                <w:numId w:val="42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Patient</w:t>
            </w:r>
            <w:r w:rsidRPr="003530A5">
              <w:rPr>
                <w:rFonts w:cs="Times New Roman"/>
              </w:rPr>
              <w:t>s must agree to utili</w:t>
            </w:r>
            <w:r>
              <w:rPr>
                <w:rFonts w:cs="Times New Roman"/>
              </w:rPr>
              <w:t>s</w:t>
            </w:r>
            <w:r w:rsidRPr="003530A5">
              <w:rPr>
                <w:rFonts w:cs="Times New Roman"/>
              </w:rPr>
              <w:t xml:space="preserve">e </w:t>
            </w:r>
            <w:r>
              <w:rPr>
                <w:rFonts w:cs="Times New Roman"/>
              </w:rPr>
              <w:t>two</w:t>
            </w:r>
            <w:r w:rsidRPr="003530A5">
              <w:rPr>
                <w:rFonts w:cs="Times New Roman"/>
              </w:rPr>
              <w:t xml:space="preserve"> reliable and acceptable methods of contraception</w:t>
            </w:r>
            <w:r>
              <w:rPr>
                <w:rFonts w:cs="Times New Roman"/>
              </w:rPr>
              <w:t xml:space="preserve"> </w:t>
            </w:r>
            <w:r w:rsidRPr="003530A5">
              <w:rPr>
                <w:rFonts w:cs="Times New Roman"/>
              </w:rPr>
              <w:t>simultaneously.</w:t>
            </w:r>
          </w:p>
          <w:p w14:paraId="17CF0FD5" w14:textId="77777777" w:rsidR="00DF1A87" w:rsidRPr="003A4684" w:rsidRDefault="00DF1A87" w:rsidP="00016F68">
            <w:pPr>
              <w:pStyle w:val="ListParagraph"/>
              <w:spacing w:line="276" w:lineRule="auto"/>
              <w:rPr>
                <w:rFonts w:cs="Times New Roman"/>
              </w:rPr>
            </w:pPr>
            <w:r w:rsidRPr="003530A5">
              <w:rPr>
                <w:rFonts w:cs="Times New Roman"/>
              </w:rPr>
              <w:t>Women are considered postmenopausal and not of childbearing potential if they have</w:t>
            </w:r>
            <w:r>
              <w:rPr>
                <w:rFonts w:cs="Times New Roman"/>
              </w:rPr>
              <w:t xml:space="preserve"> </w:t>
            </w:r>
            <w:r w:rsidRPr="00765815">
              <w:rPr>
                <w:rFonts w:cs="Times New Roman"/>
              </w:rPr>
              <w:t>had 12 months of natural (spontaneous)</w:t>
            </w:r>
            <w:r>
              <w:rPr>
                <w:rFonts w:cs="Times New Roman"/>
              </w:rPr>
              <w:t xml:space="preserve"> </w:t>
            </w:r>
            <w:r w:rsidRPr="00765815">
              <w:rPr>
                <w:rFonts w:cs="Times New Roman"/>
              </w:rPr>
              <w:t>amenorrh</w:t>
            </w:r>
            <w:r>
              <w:rPr>
                <w:rFonts w:cs="Times New Roman"/>
              </w:rPr>
              <w:t>o</w:t>
            </w:r>
            <w:r w:rsidRPr="00765815">
              <w:rPr>
                <w:rFonts w:cs="Times New Roman"/>
              </w:rPr>
              <w:t>ea with an appropriate clinical profile</w:t>
            </w:r>
            <w:r>
              <w:rPr>
                <w:rFonts w:cs="Times New Roman"/>
              </w:rPr>
              <w:t xml:space="preserve"> </w:t>
            </w:r>
            <w:r w:rsidRPr="00765815">
              <w:rPr>
                <w:rFonts w:cs="Times New Roman"/>
              </w:rPr>
              <w:t>(</w:t>
            </w:r>
            <w:proofErr w:type="spellStart"/>
            <w:r w:rsidRPr="00765815">
              <w:rPr>
                <w:rFonts w:cs="Times New Roman"/>
              </w:rPr>
              <w:t>eg</w:t>
            </w:r>
            <w:proofErr w:type="spellEnd"/>
            <w:r>
              <w:rPr>
                <w:rFonts w:cs="Times New Roman"/>
              </w:rPr>
              <w:t>,</w:t>
            </w:r>
            <w:r w:rsidRPr="00765815">
              <w:rPr>
                <w:rFonts w:cs="Times New Roman"/>
              </w:rPr>
              <w:t xml:space="preserve"> age</w:t>
            </w:r>
            <w:r>
              <w:rPr>
                <w:rFonts w:cs="Times New Roman"/>
              </w:rPr>
              <w:t>-</w:t>
            </w:r>
            <w:r w:rsidRPr="00765815">
              <w:rPr>
                <w:rFonts w:cs="Times New Roman"/>
              </w:rPr>
              <w:t>appropriate, history of vasomotor symptoms) or 6 months of spontaneous</w:t>
            </w:r>
            <w:r>
              <w:rPr>
                <w:rFonts w:cs="Times New Roman"/>
              </w:rPr>
              <w:t xml:space="preserve"> </w:t>
            </w:r>
            <w:r w:rsidRPr="00765815">
              <w:rPr>
                <w:rFonts w:cs="Times New Roman"/>
              </w:rPr>
              <w:t>amenorrh</w:t>
            </w:r>
            <w:r>
              <w:rPr>
                <w:rFonts w:cs="Times New Roman"/>
              </w:rPr>
              <w:t>o</w:t>
            </w:r>
            <w:r w:rsidRPr="00765815">
              <w:rPr>
                <w:rFonts w:cs="Times New Roman"/>
              </w:rPr>
              <w:t xml:space="preserve">ea with serum </w:t>
            </w:r>
            <w:r>
              <w:rPr>
                <w:rFonts w:cs="Times New Roman"/>
              </w:rPr>
              <w:t>FSH</w:t>
            </w:r>
            <w:r w:rsidRPr="003A4684">
              <w:rPr>
                <w:rFonts w:cs="Times New Roman"/>
              </w:rPr>
              <w:t xml:space="preserve"> levels &gt;40 </w:t>
            </w:r>
            <w:proofErr w:type="spellStart"/>
            <w:r w:rsidRPr="003A4684">
              <w:rPr>
                <w:rFonts w:cs="Times New Roman"/>
              </w:rPr>
              <w:t>mIU</w:t>
            </w:r>
            <w:proofErr w:type="spellEnd"/>
            <w:r w:rsidRPr="003A4684">
              <w:rPr>
                <w:rFonts w:cs="Times New Roman"/>
              </w:rPr>
              <w:t>/mL or have had surgical treatment such as bilateral tubal ligation, bilateral ovariectomy or hysterectomy.</w:t>
            </w:r>
          </w:p>
          <w:p w14:paraId="7D9F2D6D" w14:textId="77777777" w:rsidR="00DF1A87" w:rsidRPr="009B4289" w:rsidRDefault="00DF1A87" w:rsidP="00DF1A87">
            <w:pPr>
              <w:pStyle w:val="ListParagraph"/>
              <w:numPr>
                <w:ilvl w:val="0"/>
                <w:numId w:val="49"/>
              </w:numPr>
              <w:spacing w:line="276" w:lineRule="auto"/>
              <w:rPr>
                <w:rFonts w:cs="Times New Roman"/>
              </w:rPr>
            </w:pPr>
            <w:r w:rsidRPr="009B4289">
              <w:rPr>
                <w:rFonts w:cs="Times New Roman"/>
              </w:rPr>
              <w:t>Ability to understand and follow study-related instructions.</w:t>
            </w:r>
          </w:p>
        </w:tc>
      </w:tr>
      <w:tr w:rsidR="00DF1A87" w:rsidRPr="009B4289" w14:paraId="365452E3" w14:textId="77777777" w:rsidTr="00016F68">
        <w:tc>
          <w:tcPr>
            <w:tcW w:w="13783" w:type="dxa"/>
            <w:tcBorders>
              <w:bottom w:val="single" w:sz="4" w:space="0" w:color="auto"/>
            </w:tcBorders>
          </w:tcPr>
          <w:p w14:paraId="068578BE" w14:textId="77777777" w:rsidR="00DF1A87" w:rsidRPr="00AE47EE" w:rsidRDefault="00DF1A87" w:rsidP="00016F68">
            <w:pPr>
              <w:spacing w:line="276" w:lineRule="auto"/>
              <w:rPr>
                <w:rFonts w:cs="Times New Roman"/>
                <w:i/>
              </w:rPr>
            </w:pPr>
            <w:r w:rsidRPr="00AE47EE">
              <w:rPr>
                <w:rFonts w:cs="Times New Roman"/>
                <w:i/>
              </w:rPr>
              <w:t>MIYABI HD-C had four additional inclusion criteria</w:t>
            </w:r>
          </w:p>
          <w:p w14:paraId="4975B73D" w14:textId="77777777" w:rsidR="00DF1A87" w:rsidRPr="00B81CA0" w:rsidRDefault="00DF1A87" w:rsidP="00DF1A87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Patients</w:t>
            </w:r>
            <w:r w:rsidRPr="00CE452B">
              <w:rPr>
                <w:rFonts w:cs="Times New Roman"/>
              </w:rPr>
              <w:t xml:space="preserve"> with ESKD on dialysis (including </w:t>
            </w:r>
            <w:proofErr w:type="spellStart"/>
            <w:r w:rsidRPr="00CE452B">
              <w:rPr>
                <w:rFonts w:cs="Times New Roman"/>
              </w:rPr>
              <w:t>h</w:t>
            </w:r>
            <w:r>
              <w:rPr>
                <w:rFonts w:cs="Times New Roman"/>
              </w:rPr>
              <w:t>a</w:t>
            </w:r>
            <w:r w:rsidRPr="00CE452B">
              <w:rPr>
                <w:rFonts w:cs="Times New Roman"/>
              </w:rPr>
              <w:t>emodiafiltration</w:t>
            </w:r>
            <w:proofErr w:type="spellEnd"/>
            <w:r w:rsidRPr="00CE452B">
              <w:rPr>
                <w:rFonts w:cs="Times New Roman"/>
              </w:rPr>
              <w:t>, haemodialysis and other</w:t>
            </w:r>
            <w:r>
              <w:rPr>
                <w:rFonts w:cs="Times New Roman"/>
              </w:rPr>
              <w:t xml:space="preserve"> </w:t>
            </w:r>
            <w:r w:rsidRPr="00B81CA0">
              <w:rPr>
                <w:rFonts w:cs="Times New Roman"/>
              </w:rPr>
              <w:t xml:space="preserve">modalities except for peritoneal dialysis) weekly or more than weekly for </w:t>
            </w:r>
            <w:r w:rsidRPr="00B81CA0">
              <w:rPr>
                <w:rFonts w:eastAsia="Calibri" w:cstheme="minorHAnsi"/>
                <w:szCs w:val="24"/>
                <w:lang w:eastAsia="en-GB"/>
              </w:rPr>
              <w:t>≥</w:t>
            </w:r>
            <w:r w:rsidRPr="00B81CA0">
              <w:rPr>
                <w:rFonts w:cs="Times New Roman"/>
              </w:rPr>
              <w:t xml:space="preserve">2 </w:t>
            </w:r>
            <w:r w:rsidRPr="00526F4C">
              <w:t xml:space="preserve">weeks </w:t>
            </w:r>
            <w:r>
              <w:t>before</w:t>
            </w:r>
            <w:r w:rsidRPr="00526F4C">
              <w:t xml:space="preserve"> </w:t>
            </w:r>
            <w:r>
              <w:t xml:space="preserve">study drug </w:t>
            </w:r>
            <w:r w:rsidRPr="00526F4C">
              <w:t>assignment</w:t>
            </w:r>
          </w:p>
          <w:p w14:paraId="44036B10" w14:textId="25CE868B" w:rsidR="00DF1A87" w:rsidRDefault="00DF1A87" w:rsidP="00DF1A87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cs="Times New Roman"/>
              </w:rPr>
            </w:pPr>
            <w:r w:rsidRPr="00CE452B">
              <w:rPr>
                <w:rFonts w:cs="Times New Roman"/>
              </w:rPr>
              <w:t xml:space="preserve">Mean </w:t>
            </w:r>
            <w:r>
              <w:rPr>
                <w:rFonts w:cs="Times New Roman"/>
              </w:rPr>
              <w:t xml:space="preserve">screening </w:t>
            </w:r>
            <w:r w:rsidRPr="00CE452B">
              <w:rPr>
                <w:rFonts w:cs="Times New Roman"/>
              </w:rPr>
              <w:t>Hb level ≥80 and &lt;100 g/L (</w:t>
            </w:r>
            <w:r>
              <w:rPr>
                <w:rFonts w:cs="Times New Roman"/>
              </w:rPr>
              <w:t>at least two</w:t>
            </w:r>
            <w:r w:rsidRPr="00CE452B">
              <w:rPr>
                <w:rFonts w:cs="Times New Roman"/>
              </w:rPr>
              <w:t xml:space="preserve"> measurements must be taken ≥2 days apart</w:t>
            </w:r>
            <w:r>
              <w:rPr>
                <w:rFonts w:cs="Times New Roman"/>
              </w:rPr>
              <w:t>, assessed by the central laboratory</w:t>
            </w:r>
            <w:r w:rsidR="004366BF">
              <w:rPr>
                <w:rFonts w:cs="Times New Roman"/>
              </w:rPr>
              <w:t>;</w:t>
            </w:r>
            <w:r w:rsidRPr="00CE452B">
              <w:rPr>
                <w:rFonts w:cs="Times New Roman"/>
              </w:rPr>
              <w:t xml:space="preserve"> the difference between the</w:t>
            </w:r>
            <w:r>
              <w:rPr>
                <w:rFonts w:cs="Times New Roman"/>
              </w:rPr>
              <w:t xml:space="preserve"> two</w:t>
            </w:r>
            <w:r w:rsidRPr="00CE452B">
              <w:rPr>
                <w:rFonts w:cs="Times New Roman"/>
              </w:rPr>
              <w:t xml:space="preserve"> measurements must be &lt;12 g/L)</w:t>
            </w:r>
            <w:r w:rsidR="004366BF">
              <w:rPr>
                <w:rFonts w:cs="Times New Roman"/>
              </w:rPr>
              <w:t>,</w:t>
            </w:r>
            <w:r w:rsidRPr="00CE452B">
              <w:rPr>
                <w:rFonts w:cs="Times New Roman"/>
              </w:rPr>
              <w:t xml:space="preserve"> with</w:t>
            </w:r>
            <w:r>
              <w:rPr>
                <w:rFonts w:cs="Times New Roman"/>
              </w:rPr>
              <w:t xml:space="preserve"> </w:t>
            </w:r>
            <w:r w:rsidRPr="00CE452B">
              <w:rPr>
                <w:rFonts w:cs="Times New Roman"/>
              </w:rPr>
              <w:t xml:space="preserve">the last screening Hb measurement </w:t>
            </w:r>
            <w:r>
              <w:rPr>
                <w:rFonts w:cs="Times New Roman"/>
              </w:rPr>
              <w:t>during the</w:t>
            </w:r>
            <w:r w:rsidRPr="00CE452B">
              <w:rPr>
                <w:rFonts w:cs="Times New Roman"/>
              </w:rPr>
              <w:t xml:space="preserve"> 14 days </w:t>
            </w:r>
            <w:r>
              <w:rPr>
                <w:rFonts w:cs="Times New Roman"/>
              </w:rPr>
              <w:t>before</w:t>
            </w:r>
            <w:r w:rsidRPr="00CE452B">
              <w:rPr>
                <w:rFonts w:cs="Times New Roman"/>
              </w:rPr>
              <w:t xml:space="preserve"> study drug assignment</w:t>
            </w:r>
          </w:p>
          <w:p w14:paraId="522F1EBA" w14:textId="146AED04" w:rsidR="00DF1A87" w:rsidRDefault="00DF1A87" w:rsidP="00DF1A87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cs="Times New Roman"/>
              </w:rPr>
            </w:pPr>
            <w:r w:rsidRPr="00CE452B">
              <w:rPr>
                <w:rFonts w:cs="Times New Roman"/>
              </w:rPr>
              <w:lastRenderedPageBreak/>
              <w:t xml:space="preserve">Not treated with any ESAs or HIF-PH inhibitors </w:t>
            </w:r>
            <w:r>
              <w:rPr>
                <w:rFonts w:cs="Times New Roman"/>
              </w:rPr>
              <w:t>during the</w:t>
            </w:r>
            <w:r w:rsidRPr="00CE452B">
              <w:rPr>
                <w:rFonts w:cs="Times New Roman"/>
              </w:rPr>
              <w:t xml:space="preserve"> 8 weeks </w:t>
            </w:r>
            <w:r>
              <w:rPr>
                <w:rFonts w:cs="Times New Roman"/>
              </w:rPr>
              <w:t>before</w:t>
            </w:r>
            <w:r w:rsidRPr="00CE452B">
              <w:rPr>
                <w:rFonts w:cs="Times New Roman"/>
              </w:rPr>
              <w:t xml:space="preserve"> study drug</w:t>
            </w:r>
            <w:r>
              <w:rPr>
                <w:rFonts w:cs="Times New Roman"/>
              </w:rPr>
              <w:t xml:space="preserve"> </w:t>
            </w:r>
            <w:r w:rsidRPr="00EF50D7">
              <w:rPr>
                <w:rFonts w:cs="Times New Roman"/>
              </w:rPr>
              <w:t xml:space="preserve">assignment. </w:t>
            </w:r>
            <w:r>
              <w:rPr>
                <w:rFonts w:cs="Times New Roman"/>
              </w:rPr>
              <w:t>For patients washed out from</w:t>
            </w:r>
            <w:r w:rsidRPr="00EF50D7">
              <w:rPr>
                <w:rFonts w:cs="Times New Roman"/>
              </w:rPr>
              <w:t xml:space="preserve"> ESAs, the mean Hb</w:t>
            </w:r>
            <w:r>
              <w:rPr>
                <w:rFonts w:cs="Times New Roman"/>
              </w:rPr>
              <w:t xml:space="preserve"> level before dialysis</w:t>
            </w:r>
            <w:r w:rsidRPr="00EF50D7">
              <w:rPr>
                <w:rFonts w:cs="Times New Roman"/>
              </w:rPr>
              <w:t xml:space="preserve"> (at least two measurements taken ≥2 days apart</w:t>
            </w:r>
            <w:r>
              <w:rPr>
                <w:rFonts w:cs="Times New Roman"/>
              </w:rPr>
              <w:t>, assessed by the central laboratory</w:t>
            </w:r>
            <w:r w:rsidRPr="00EF50D7">
              <w:rPr>
                <w:rFonts w:cs="Times New Roman"/>
              </w:rPr>
              <w:t xml:space="preserve">) </w:t>
            </w:r>
            <w:r>
              <w:rPr>
                <w:rFonts w:cs="Times New Roman"/>
              </w:rPr>
              <w:t xml:space="preserve">must </w:t>
            </w:r>
            <w:r w:rsidRPr="00EF50D7">
              <w:rPr>
                <w:rFonts w:cs="Times New Roman"/>
              </w:rPr>
              <w:t>ha</w:t>
            </w:r>
            <w:r>
              <w:rPr>
                <w:rFonts w:cs="Times New Roman"/>
              </w:rPr>
              <w:t>ve</w:t>
            </w:r>
            <w:r w:rsidRPr="00EF50D7">
              <w:rPr>
                <w:rFonts w:cs="Times New Roman"/>
              </w:rPr>
              <w:t xml:space="preserve"> decreased </w:t>
            </w:r>
            <w:r>
              <w:rPr>
                <w:rFonts w:cs="Times New Roman"/>
              </w:rPr>
              <w:t>by</w:t>
            </w:r>
            <w:r w:rsidRPr="00EF50D7">
              <w:rPr>
                <w:rFonts w:cs="Times New Roman"/>
              </w:rPr>
              <w:t xml:space="preserve"> ≥5 </w:t>
            </w:r>
            <w:r>
              <w:rPr>
                <w:rFonts w:cs="Times New Roman"/>
              </w:rPr>
              <w:t>g/</w:t>
            </w:r>
            <w:r w:rsidRPr="00EF50D7">
              <w:rPr>
                <w:rFonts w:cs="Times New Roman"/>
              </w:rPr>
              <w:t>L after the last ESA administration, AND the interval from the last ESA</w:t>
            </w:r>
            <w:r>
              <w:rPr>
                <w:rFonts w:cs="Times New Roman"/>
              </w:rPr>
              <w:t xml:space="preserve"> </w:t>
            </w:r>
            <w:r w:rsidRPr="00542660">
              <w:rPr>
                <w:rFonts w:cs="Times New Roman"/>
              </w:rPr>
              <w:t xml:space="preserve">administration to study drug assignment </w:t>
            </w:r>
            <w:r>
              <w:rPr>
                <w:rFonts w:cs="Times New Roman"/>
              </w:rPr>
              <w:t>should be</w:t>
            </w:r>
            <w:r w:rsidRPr="0054266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&gt;</w:t>
            </w:r>
            <w:r w:rsidRPr="00542660">
              <w:rPr>
                <w:rFonts w:cs="Times New Roman"/>
              </w:rPr>
              <w:t xml:space="preserve">1 week for epoetin alfa, </w:t>
            </w:r>
            <w:r>
              <w:rPr>
                <w:rFonts w:cs="Times New Roman"/>
              </w:rPr>
              <w:t>&gt;</w:t>
            </w:r>
            <w:r w:rsidRPr="00542660">
              <w:rPr>
                <w:rFonts w:cs="Times New Roman"/>
              </w:rPr>
              <w:t xml:space="preserve">2 weeks for darbepoetin alfa or </w:t>
            </w:r>
            <w:r>
              <w:rPr>
                <w:rFonts w:cs="Times New Roman"/>
              </w:rPr>
              <w:t>&gt;</w:t>
            </w:r>
            <w:r w:rsidRPr="00542660">
              <w:rPr>
                <w:rFonts w:cs="Times New Roman"/>
              </w:rPr>
              <w:t>4 weeks for epoetin beta pegol</w:t>
            </w:r>
          </w:p>
          <w:p w14:paraId="74BA9E35" w14:textId="77777777" w:rsidR="00DF1A87" w:rsidRPr="00251B8D" w:rsidRDefault="00DF1A87" w:rsidP="00DF1A87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cs="Times New Roman"/>
              </w:rPr>
            </w:pPr>
            <w:r w:rsidRPr="00251B8D">
              <w:rPr>
                <w:rFonts w:cs="Times New Roman"/>
              </w:rPr>
              <w:t>Ferritin ≥50 ng/mL at screening</w:t>
            </w:r>
          </w:p>
        </w:tc>
      </w:tr>
      <w:tr w:rsidR="00DF1A87" w:rsidRPr="009B4289" w14:paraId="6702A1AB" w14:textId="77777777" w:rsidTr="00016F68">
        <w:tc>
          <w:tcPr>
            <w:tcW w:w="13783" w:type="dxa"/>
            <w:tcBorders>
              <w:bottom w:val="single" w:sz="4" w:space="0" w:color="auto"/>
            </w:tcBorders>
          </w:tcPr>
          <w:p w14:paraId="5BFC9D37" w14:textId="77777777" w:rsidR="00DF1A87" w:rsidRPr="00AE47EE" w:rsidRDefault="00DF1A87" w:rsidP="00016F68">
            <w:pPr>
              <w:spacing w:line="276" w:lineRule="auto"/>
              <w:rPr>
                <w:rFonts w:cs="Times New Roman"/>
                <w:i/>
              </w:rPr>
            </w:pPr>
            <w:r w:rsidRPr="00AE47EE">
              <w:rPr>
                <w:rFonts w:cs="Times New Roman"/>
                <w:i/>
              </w:rPr>
              <w:lastRenderedPageBreak/>
              <w:t>MIYABI PD had five additional inclusion criteria</w:t>
            </w:r>
          </w:p>
          <w:p w14:paraId="05281D27" w14:textId="77777777" w:rsidR="00DF1A87" w:rsidRPr="004E7558" w:rsidRDefault="00DF1A87" w:rsidP="00DF1A87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Patients</w:t>
            </w:r>
            <w:r w:rsidRPr="004E7558">
              <w:rPr>
                <w:rFonts w:cs="Times New Roman"/>
              </w:rPr>
              <w:t xml:space="preserve"> with ESKD on peritoneal dialysis </w:t>
            </w:r>
            <w:r>
              <w:rPr>
                <w:rFonts w:cs="Times New Roman"/>
              </w:rPr>
              <w:t>before</w:t>
            </w:r>
            <w:r w:rsidRPr="004E755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study drug </w:t>
            </w:r>
            <w:r w:rsidRPr="004E7558">
              <w:rPr>
                <w:rFonts w:cs="Times New Roman"/>
              </w:rPr>
              <w:t>assignment and not expected to start</w:t>
            </w:r>
            <w:r>
              <w:rPr>
                <w:rFonts w:cs="Times New Roman"/>
              </w:rPr>
              <w:t xml:space="preserve"> </w:t>
            </w:r>
            <w:r w:rsidRPr="004E7558">
              <w:rPr>
                <w:rFonts w:cs="Times New Roman"/>
              </w:rPr>
              <w:t>maintenance dialysis (</w:t>
            </w:r>
            <w:proofErr w:type="spellStart"/>
            <w:r w:rsidRPr="004E7558">
              <w:rPr>
                <w:rFonts w:cs="Times New Roman"/>
              </w:rPr>
              <w:t>eg</w:t>
            </w:r>
            <w:proofErr w:type="spellEnd"/>
            <w:r>
              <w:rPr>
                <w:rFonts w:cs="Times New Roman"/>
              </w:rPr>
              <w:t>,</w:t>
            </w:r>
            <w:r w:rsidRPr="004E7558">
              <w:rPr>
                <w:rFonts w:cs="Times New Roman"/>
              </w:rPr>
              <w:t xml:space="preserve"> haemodialysis, </w:t>
            </w:r>
            <w:proofErr w:type="spellStart"/>
            <w:r w:rsidRPr="004E7558">
              <w:rPr>
                <w:rFonts w:cs="Times New Roman"/>
              </w:rPr>
              <w:t>h</w:t>
            </w:r>
            <w:r>
              <w:rPr>
                <w:rFonts w:cs="Times New Roman"/>
              </w:rPr>
              <w:t>a</w:t>
            </w:r>
            <w:r w:rsidRPr="004E7558">
              <w:rPr>
                <w:rFonts w:cs="Times New Roman"/>
              </w:rPr>
              <w:t>emodiafiltration</w:t>
            </w:r>
            <w:proofErr w:type="spellEnd"/>
            <w:r w:rsidRPr="004E7558">
              <w:rPr>
                <w:rFonts w:cs="Times New Roman"/>
              </w:rPr>
              <w:t>) other than peritoneal dialysis</w:t>
            </w:r>
            <w:r>
              <w:rPr>
                <w:rFonts w:cs="Times New Roman"/>
              </w:rPr>
              <w:t xml:space="preserve"> </w:t>
            </w:r>
            <w:r w:rsidRPr="004E7558">
              <w:rPr>
                <w:rFonts w:cs="Times New Roman"/>
              </w:rPr>
              <w:t>during the study period</w:t>
            </w:r>
          </w:p>
          <w:p w14:paraId="6EF3104C" w14:textId="77777777" w:rsidR="00DF1A87" w:rsidRPr="004E7558" w:rsidRDefault="00DF1A87" w:rsidP="00DF1A87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Pr="004E7558">
              <w:rPr>
                <w:rFonts w:cs="Times New Roman"/>
              </w:rPr>
              <w:t xml:space="preserve">ot </w:t>
            </w:r>
            <w:r>
              <w:rPr>
                <w:rFonts w:cs="Times New Roman"/>
              </w:rPr>
              <w:t>treated with</w:t>
            </w:r>
            <w:r w:rsidRPr="004E7558">
              <w:rPr>
                <w:rFonts w:cs="Times New Roman"/>
              </w:rPr>
              <w:t xml:space="preserve"> HIF-PH inhibitors </w:t>
            </w:r>
            <w:r>
              <w:rPr>
                <w:rFonts w:cs="Times New Roman"/>
              </w:rPr>
              <w:t>during</w:t>
            </w:r>
            <w:r w:rsidRPr="004E755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the </w:t>
            </w:r>
            <w:r w:rsidRPr="004E7558">
              <w:rPr>
                <w:rFonts w:cs="Times New Roman"/>
              </w:rPr>
              <w:t xml:space="preserve">8 weeks </w:t>
            </w:r>
            <w:r>
              <w:rPr>
                <w:rFonts w:cs="Times New Roman"/>
              </w:rPr>
              <w:t>before</w:t>
            </w:r>
            <w:r w:rsidRPr="004E755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study drug </w:t>
            </w:r>
            <w:r w:rsidRPr="004E7558">
              <w:rPr>
                <w:rFonts w:cs="Times New Roman"/>
              </w:rPr>
              <w:t>assignment</w:t>
            </w:r>
          </w:p>
          <w:p w14:paraId="7DC5171C" w14:textId="77777777" w:rsidR="00DF1A87" w:rsidRPr="004E7558" w:rsidRDefault="00DF1A87" w:rsidP="00DF1A87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Patient</w:t>
            </w:r>
            <w:r w:rsidRPr="004E7558">
              <w:rPr>
                <w:rFonts w:cs="Times New Roman"/>
              </w:rPr>
              <w:t>s who meet one of the following criteria</w:t>
            </w:r>
          </w:p>
          <w:p w14:paraId="0D1495C5" w14:textId="77777777" w:rsidR="00DF1A87" w:rsidRPr="009F2854" w:rsidRDefault="00DF1A87" w:rsidP="00016F68">
            <w:pPr>
              <w:pStyle w:val="ListParagraph"/>
              <w:spacing w:line="276" w:lineRule="auto"/>
              <w:rPr>
                <w:rFonts w:cs="Times New Roman"/>
                <w:i/>
              </w:rPr>
            </w:pPr>
            <w:r w:rsidRPr="009F2854">
              <w:rPr>
                <w:rFonts w:cs="Times New Roman"/>
                <w:i/>
              </w:rPr>
              <w:t>A: Untreated with ESA at</w:t>
            </w:r>
            <w:r>
              <w:rPr>
                <w:rFonts w:cs="Times New Roman"/>
                <w:i/>
              </w:rPr>
              <w:t xml:space="preserve"> study drug assignment</w:t>
            </w:r>
          </w:p>
          <w:p w14:paraId="69C25F23" w14:textId="33B8CF58" w:rsidR="00DF1A87" w:rsidRPr="004E7558" w:rsidRDefault="00DF1A87" w:rsidP="00016F68">
            <w:pPr>
              <w:pStyle w:val="ListParagraph"/>
              <w:spacing w:line="276" w:lineRule="auto"/>
              <w:rPr>
                <w:rFonts w:cs="Times New Roman"/>
              </w:rPr>
            </w:pPr>
            <w:r w:rsidRPr="004E7558">
              <w:rPr>
                <w:rFonts w:cs="Times New Roman"/>
              </w:rPr>
              <w:t>Mean</w:t>
            </w:r>
            <w:r>
              <w:rPr>
                <w:rFonts w:cs="Times New Roman"/>
              </w:rPr>
              <w:t xml:space="preserve"> screening</w:t>
            </w:r>
            <w:r w:rsidRPr="004E7558">
              <w:rPr>
                <w:rFonts w:cs="Times New Roman"/>
              </w:rPr>
              <w:t xml:space="preserve"> </w:t>
            </w:r>
            <w:r w:rsidRPr="002823B6">
              <w:rPr>
                <w:rFonts w:cs="Times New Roman"/>
              </w:rPr>
              <w:t>Hb level</w:t>
            </w:r>
            <w:r>
              <w:rPr>
                <w:rFonts w:cs="Times New Roman"/>
              </w:rPr>
              <w:t xml:space="preserve"> </w:t>
            </w:r>
            <w:r w:rsidRPr="004E7558">
              <w:rPr>
                <w:rFonts w:cs="Times New Roman"/>
              </w:rPr>
              <w:t>≥80 and &lt;110 g/L (</w:t>
            </w:r>
            <w:r>
              <w:rPr>
                <w:rFonts w:cs="Times New Roman"/>
              </w:rPr>
              <w:t xml:space="preserve">based on the last two </w:t>
            </w:r>
            <w:r w:rsidRPr="004E7558">
              <w:rPr>
                <w:rFonts w:cs="Times New Roman"/>
              </w:rPr>
              <w:t>measurements taken ≥2 days apart</w:t>
            </w:r>
            <w:r>
              <w:rPr>
                <w:rFonts w:cs="Times New Roman"/>
              </w:rPr>
              <w:t>, assessed by the central laboratory;</w:t>
            </w:r>
            <w:r w:rsidRPr="004E7558">
              <w:rPr>
                <w:rFonts w:cs="Times New Roman"/>
              </w:rPr>
              <w:t xml:space="preserve"> the</w:t>
            </w:r>
            <w:r>
              <w:rPr>
                <w:rFonts w:cs="Times New Roman"/>
              </w:rPr>
              <w:t xml:space="preserve"> </w:t>
            </w:r>
            <w:r w:rsidRPr="004E7558">
              <w:rPr>
                <w:rFonts w:cs="Times New Roman"/>
              </w:rPr>
              <w:t xml:space="preserve">difference between the </w:t>
            </w:r>
            <w:r>
              <w:rPr>
                <w:rFonts w:cs="Times New Roman"/>
              </w:rPr>
              <w:t>two</w:t>
            </w:r>
            <w:r w:rsidRPr="004E7558">
              <w:rPr>
                <w:rFonts w:cs="Times New Roman"/>
              </w:rPr>
              <w:t xml:space="preserve"> measurements must be &lt;12 g/L)</w:t>
            </w:r>
            <w:r>
              <w:rPr>
                <w:rFonts w:cs="Times New Roman"/>
              </w:rPr>
              <w:t>,</w:t>
            </w:r>
            <w:r w:rsidRPr="004E7558">
              <w:rPr>
                <w:rFonts w:cs="Times New Roman"/>
              </w:rPr>
              <w:t xml:space="preserve"> with the last screening Hb</w:t>
            </w:r>
            <w:r>
              <w:rPr>
                <w:rFonts w:cs="Times New Roman"/>
              </w:rPr>
              <w:t xml:space="preserve"> </w:t>
            </w:r>
            <w:r w:rsidRPr="004E7558">
              <w:rPr>
                <w:rFonts w:cs="Times New Roman"/>
              </w:rPr>
              <w:t xml:space="preserve">measurement </w:t>
            </w:r>
            <w:r>
              <w:rPr>
                <w:rFonts w:cs="Times New Roman"/>
              </w:rPr>
              <w:t>during the</w:t>
            </w:r>
            <w:r w:rsidRPr="004E7558">
              <w:rPr>
                <w:rFonts w:cs="Times New Roman"/>
              </w:rPr>
              <w:t xml:space="preserve"> 14 days </w:t>
            </w:r>
            <w:r>
              <w:rPr>
                <w:rFonts w:cs="Times New Roman"/>
              </w:rPr>
              <w:t>before</w:t>
            </w:r>
            <w:r w:rsidRPr="004E7558">
              <w:rPr>
                <w:rFonts w:cs="Times New Roman"/>
              </w:rPr>
              <w:t xml:space="preserve"> study drug assignment</w:t>
            </w:r>
          </w:p>
          <w:p w14:paraId="60C8A0DF" w14:textId="77777777" w:rsidR="00DF1A87" w:rsidRPr="009F2854" w:rsidRDefault="00DF1A87" w:rsidP="00016F68">
            <w:pPr>
              <w:pStyle w:val="ListParagraph"/>
              <w:spacing w:line="276" w:lineRule="auto"/>
              <w:rPr>
                <w:rFonts w:cs="Times New Roman"/>
                <w:i/>
              </w:rPr>
            </w:pPr>
            <w:r w:rsidRPr="009F2854">
              <w:rPr>
                <w:rFonts w:cs="Times New Roman"/>
                <w:i/>
              </w:rPr>
              <w:t>B: Pre-treated with ESA at</w:t>
            </w:r>
            <w:r>
              <w:rPr>
                <w:rFonts w:cs="Times New Roman"/>
                <w:i/>
              </w:rPr>
              <w:t xml:space="preserve"> study drug assignment</w:t>
            </w:r>
          </w:p>
          <w:p w14:paraId="0BD07F14" w14:textId="69DE6924" w:rsidR="00DF1A87" w:rsidRPr="00785158" w:rsidRDefault="00DF1A87" w:rsidP="00016F68">
            <w:pPr>
              <w:pStyle w:val="ListParagraph"/>
              <w:spacing w:line="276" w:lineRule="auto"/>
              <w:rPr>
                <w:rFonts w:cs="Times New Roman"/>
              </w:rPr>
            </w:pPr>
            <w:r w:rsidRPr="004E7558">
              <w:rPr>
                <w:rFonts w:cs="Times New Roman"/>
              </w:rPr>
              <w:t>Mean</w:t>
            </w:r>
            <w:r>
              <w:rPr>
                <w:rFonts w:cs="Times New Roman"/>
              </w:rPr>
              <w:t xml:space="preserve"> screening</w:t>
            </w:r>
            <w:r w:rsidRPr="004E7558">
              <w:rPr>
                <w:rFonts w:cs="Times New Roman"/>
              </w:rPr>
              <w:t xml:space="preserve"> Hb level</w:t>
            </w:r>
            <w:r w:rsidRPr="008E3035">
              <w:rPr>
                <w:rFonts w:cs="Times New Roman"/>
              </w:rPr>
              <w:t xml:space="preserve"> ≥100 and &lt;130 g/L (</w:t>
            </w:r>
            <w:r>
              <w:rPr>
                <w:rFonts w:cs="Times New Roman"/>
              </w:rPr>
              <w:t>based on the last two</w:t>
            </w:r>
            <w:r w:rsidRPr="008E3035">
              <w:rPr>
                <w:rFonts w:cs="Times New Roman"/>
              </w:rPr>
              <w:t xml:space="preserve"> measurements taken ≥2 days apart</w:t>
            </w:r>
            <w:r>
              <w:rPr>
                <w:rFonts w:cs="Times New Roman"/>
              </w:rPr>
              <w:t>, assessed by the central laboratory;</w:t>
            </w:r>
            <w:r w:rsidRPr="008E3035">
              <w:rPr>
                <w:rFonts w:cs="Times New Roman"/>
              </w:rPr>
              <w:t xml:space="preserve"> the</w:t>
            </w:r>
            <w:r>
              <w:rPr>
                <w:rFonts w:cs="Times New Roman"/>
              </w:rPr>
              <w:t xml:space="preserve"> </w:t>
            </w:r>
            <w:r w:rsidRPr="008E3035">
              <w:rPr>
                <w:rFonts w:cs="Times New Roman"/>
              </w:rPr>
              <w:t xml:space="preserve">difference between the </w:t>
            </w:r>
            <w:r>
              <w:rPr>
                <w:rFonts w:cs="Times New Roman"/>
              </w:rPr>
              <w:t>two</w:t>
            </w:r>
            <w:r w:rsidRPr="008E3035">
              <w:rPr>
                <w:rFonts w:cs="Times New Roman"/>
              </w:rPr>
              <w:t xml:space="preserve"> measurements must be &lt;12 g/L)</w:t>
            </w:r>
            <w:r>
              <w:rPr>
                <w:rFonts w:cs="Times New Roman"/>
              </w:rPr>
              <w:t>,</w:t>
            </w:r>
            <w:r w:rsidRPr="008E3035">
              <w:rPr>
                <w:rFonts w:cs="Times New Roman"/>
              </w:rPr>
              <w:t xml:space="preserve"> with the last screening Hb</w:t>
            </w:r>
            <w:r>
              <w:rPr>
                <w:rFonts w:cs="Times New Roman"/>
              </w:rPr>
              <w:t xml:space="preserve"> </w:t>
            </w:r>
            <w:r w:rsidRPr="008E3035">
              <w:rPr>
                <w:rFonts w:cs="Times New Roman"/>
              </w:rPr>
              <w:t xml:space="preserve">measurement </w:t>
            </w:r>
            <w:r>
              <w:rPr>
                <w:rFonts w:cs="Times New Roman"/>
              </w:rPr>
              <w:t>during the</w:t>
            </w:r>
            <w:r w:rsidRPr="008E3035">
              <w:rPr>
                <w:rFonts w:cs="Times New Roman"/>
              </w:rPr>
              <w:t xml:space="preserve"> 14 days </w:t>
            </w:r>
            <w:r>
              <w:rPr>
                <w:rFonts w:cs="Times New Roman"/>
              </w:rPr>
              <w:t>before</w:t>
            </w:r>
            <w:r w:rsidRPr="008E3035">
              <w:rPr>
                <w:rFonts w:cs="Times New Roman"/>
              </w:rPr>
              <w:t xml:space="preserve"> study drug assignment</w:t>
            </w:r>
          </w:p>
          <w:p w14:paraId="58A7E39A" w14:textId="77777777" w:rsidR="00DF1A87" w:rsidRPr="004E7558" w:rsidRDefault="00DF1A87" w:rsidP="00DF1A87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Patient</w:t>
            </w:r>
            <w:r w:rsidRPr="004E7558">
              <w:rPr>
                <w:rFonts w:cs="Times New Roman"/>
              </w:rPr>
              <w:t>s who meet one of the following criteria</w:t>
            </w:r>
          </w:p>
          <w:p w14:paraId="3BD373C5" w14:textId="77777777" w:rsidR="00DF1A87" w:rsidRPr="009F2854" w:rsidRDefault="00DF1A87" w:rsidP="00016F68">
            <w:pPr>
              <w:pStyle w:val="ListParagraph"/>
              <w:spacing w:line="276" w:lineRule="auto"/>
              <w:rPr>
                <w:rFonts w:cs="Times New Roman"/>
                <w:i/>
              </w:rPr>
            </w:pPr>
            <w:r w:rsidRPr="009F2854">
              <w:rPr>
                <w:rFonts w:cs="Times New Roman"/>
                <w:i/>
              </w:rPr>
              <w:t xml:space="preserve">A: Untreated with ESA at </w:t>
            </w:r>
            <w:r>
              <w:rPr>
                <w:rFonts w:cs="Times New Roman"/>
                <w:i/>
              </w:rPr>
              <w:t>study drug assignment</w:t>
            </w:r>
          </w:p>
          <w:p w14:paraId="3A0D2AD4" w14:textId="77777777" w:rsidR="00DF1A87" w:rsidRPr="004E7558" w:rsidRDefault="00DF1A87" w:rsidP="00DF1A87">
            <w:pPr>
              <w:pStyle w:val="ListParagraph"/>
              <w:numPr>
                <w:ilvl w:val="1"/>
                <w:numId w:val="45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Patient</w:t>
            </w:r>
            <w:r w:rsidRPr="004E7558">
              <w:rPr>
                <w:rFonts w:cs="Times New Roman"/>
              </w:rPr>
              <w:t xml:space="preserve"> with ESKD on peritoneal dialysis for </w:t>
            </w:r>
            <w:r>
              <w:rPr>
                <w:rFonts w:eastAsia="Calibri" w:cstheme="minorHAnsi"/>
                <w:szCs w:val="24"/>
                <w:lang w:eastAsia="en-GB"/>
              </w:rPr>
              <w:t>≥</w:t>
            </w:r>
            <w:r w:rsidRPr="004E7558">
              <w:rPr>
                <w:rFonts w:cs="Times New Roman"/>
              </w:rPr>
              <w:t xml:space="preserve">2 weeks </w:t>
            </w:r>
            <w:r>
              <w:rPr>
                <w:rFonts w:cs="Times New Roman"/>
              </w:rPr>
              <w:t>before study drug</w:t>
            </w:r>
            <w:r w:rsidRPr="004E7558">
              <w:rPr>
                <w:rFonts w:cs="Times New Roman"/>
              </w:rPr>
              <w:t xml:space="preserve"> assignment</w:t>
            </w:r>
          </w:p>
          <w:p w14:paraId="2630CDD3" w14:textId="77777777" w:rsidR="00DF1A87" w:rsidRPr="004E7558" w:rsidRDefault="00DF1A87" w:rsidP="00016F68">
            <w:pPr>
              <w:pStyle w:val="ListParagraph"/>
              <w:spacing w:line="276" w:lineRule="auto"/>
              <w:rPr>
                <w:rFonts w:cs="Times New Roman"/>
              </w:rPr>
            </w:pPr>
            <w:r w:rsidRPr="004E7558">
              <w:rPr>
                <w:rFonts w:cs="Times New Roman"/>
              </w:rPr>
              <w:t>and</w:t>
            </w:r>
          </w:p>
          <w:p w14:paraId="3954E414" w14:textId="77777777" w:rsidR="00DF1A87" w:rsidRPr="004E7558" w:rsidRDefault="00DF1A87" w:rsidP="00DF1A87">
            <w:pPr>
              <w:pStyle w:val="ListParagraph"/>
              <w:numPr>
                <w:ilvl w:val="1"/>
                <w:numId w:val="45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Pr="004E7558">
              <w:rPr>
                <w:rFonts w:cs="Times New Roman"/>
              </w:rPr>
              <w:t xml:space="preserve">ot </w:t>
            </w:r>
            <w:r>
              <w:rPr>
                <w:rFonts w:cs="Times New Roman"/>
              </w:rPr>
              <w:t>treated with</w:t>
            </w:r>
            <w:r w:rsidRPr="004E7558">
              <w:rPr>
                <w:rFonts w:cs="Times New Roman"/>
              </w:rPr>
              <w:t xml:space="preserve"> ESA for </w:t>
            </w:r>
            <w:r>
              <w:rPr>
                <w:rFonts w:cs="Times New Roman"/>
              </w:rPr>
              <w:t xml:space="preserve">the </w:t>
            </w:r>
            <w:r w:rsidRPr="004E7558">
              <w:rPr>
                <w:rFonts w:cs="Times New Roman"/>
              </w:rPr>
              <w:t xml:space="preserve">8 weeks </w:t>
            </w:r>
            <w:r>
              <w:rPr>
                <w:rFonts w:cs="Times New Roman"/>
              </w:rPr>
              <w:t>before study drug</w:t>
            </w:r>
            <w:r w:rsidRPr="004E7558">
              <w:rPr>
                <w:rFonts w:cs="Times New Roman"/>
              </w:rPr>
              <w:t xml:space="preserve"> assignment</w:t>
            </w:r>
          </w:p>
          <w:p w14:paraId="08BEB799" w14:textId="77777777" w:rsidR="00DF1A87" w:rsidRPr="004E7558" w:rsidRDefault="00DF1A87" w:rsidP="00016F68">
            <w:pPr>
              <w:pStyle w:val="ListParagraph"/>
              <w:spacing w:line="276" w:lineRule="auto"/>
              <w:rPr>
                <w:rFonts w:cs="Times New Roman"/>
              </w:rPr>
            </w:pPr>
            <w:r w:rsidRPr="004E7558">
              <w:rPr>
                <w:rFonts w:cs="Times New Roman"/>
              </w:rPr>
              <w:t>or</w:t>
            </w:r>
          </w:p>
          <w:p w14:paraId="17962461" w14:textId="52774588" w:rsidR="00DF1A87" w:rsidRPr="001B0775" w:rsidRDefault="00DF1A87" w:rsidP="00DF1A87">
            <w:pPr>
              <w:pStyle w:val="ListParagraph"/>
              <w:numPr>
                <w:ilvl w:val="1"/>
                <w:numId w:val="45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  <w:r w:rsidRPr="004E7558">
              <w:rPr>
                <w:rFonts w:cs="Times New Roman"/>
              </w:rPr>
              <w:t xml:space="preserve">ashed out from ESAs, when </w:t>
            </w:r>
            <w:r>
              <w:rPr>
                <w:rFonts w:cs="Times New Roman"/>
              </w:rPr>
              <w:t xml:space="preserve">the </w:t>
            </w:r>
            <w:r w:rsidRPr="004E7558">
              <w:rPr>
                <w:rFonts w:cs="Times New Roman"/>
              </w:rPr>
              <w:t xml:space="preserve">mean </w:t>
            </w:r>
            <w:r w:rsidRPr="008C5628">
              <w:rPr>
                <w:rFonts w:cs="Times New Roman"/>
              </w:rPr>
              <w:t>Hb level</w:t>
            </w:r>
            <w:r w:rsidRPr="004E7558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 xml:space="preserve">based on </w:t>
            </w:r>
            <w:r w:rsidRPr="004E7558">
              <w:rPr>
                <w:rFonts w:cs="Times New Roman"/>
              </w:rPr>
              <w:t>at</w:t>
            </w:r>
            <w:r>
              <w:rPr>
                <w:rFonts w:cs="Times New Roman"/>
              </w:rPr>
              <w:t xml:space="preserve"> </w:t>
            </w:r>
            <w:r w:rsidRPr="001B0775">
              <w:rPr>
                <w:rFonts w:cs="Times New Roman"/>
              </w:rPr>
              <w:t xml:space="preserve">least </w:t>
            </w:r>
            <w:r>
              <w:rPr>
                <w:rFonts w:cs="Times New Roman"/>
              </w:rPr>
              <w:t>two</w:t>
            </w:r>
            <w:r w:rsidRPr="001B0775">
              <w:rPr>
                <w:rFonts w:cs="Times New Roman"/>
              </w:rPr>
              <w:t xml:space="preserve"> measurements taken ≥2 days apart</w:t>
            </w:r>
            <w:r>
              <w:rPr>
                <w:rFonts w:cs="Times New Roman"/>
              </w:rPr>
              <w:t>, assessed by the central laboratory</w:t>
            </w:r>
            <w:r w:rsidRPr="001B0775">
              <w:rPr>
                <w:rFonts w:cs="Times New Roman"/>
              </w:rPr>
              <w:t>) has decrease</w:t>
            </w:r>
            <w:r>
              <w:rPr>
                <w:rFonts w:cs="Times New Roman"/>
              </w:rPr>
              <w:t>d</w:t>
            </w:r>
            <w:r w:rsidRPr="001B077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by</w:t>
            </w:r>
            <w:r w:rsidRPr="001B0775">
              <w:rPr>
                <w:rFonts w:cs="Times New Roman"/>
              </w:rPr>
              <w:t xml:space="preserve"> ≥5 g/L after the last ESA</w:t>
            </w:r>
            <w:r>
              <w:rPr>
                <w:rFonts w:cs="Times New Roman"/>
              </w:rPr>
              <w:t xml:space="preserve"> </w:t>
            </w:r>
            <w:r w:rsidRPr="001B0775">
              <w:rPr>
                <w:rFonts w:cs="Times New Roman"/>
              </w:rPr>
              <w:t>administration, AND the interval from the last ESA administration to study drug</w:t>
            </w:r>
            <w:r>
              <w:rPr>
                <w:rFonts w:cs="Times New Roman"/>
              </w:rPr>
              <w:t xml:space="preserve"> </w:t>
            </w:r>
            <w:r w:rsidRPr="001B0775">
              <w:rPr>
                <w:rFonts w:cs="Times New Roman"/>
              </w:rPr>
              <w:t xml:space="preserve">assignment should be </w:t>
            </w:r>
            <w:r>
              <w:rPr>
                <w:rFonts w:cs="Times New Roman"/>
              </w:rPr>
              <w:t>&gt;</w:t>
            </w:r>
            <w:r w:rsidRPr="001B0775">
              <w:rPr>
                <w:rFonts w:cs="Times New Roman"/>
              </w:rPr>
              <w:t>2 week</w:t>
            </w:r>
            <w:r>
              <w:rPr>
                <w:rFonts w:cs="Times New Roman"/>
              </w:rPr>
              <w:t>s</w:t>
            </w:r>
            <w:r w:rsidRPr="001B0775">
              <w:rPr>
                <w:rFonts w:cs="Times New Roman"/>
              </w:rPr>
              <w:t xml:space="preserve"> for epoetin</w:t>
            </w:r>
            <w:r>
              <w:rPr>
                <w:rFonts w:cs="Times New Roman"/>
              </w:rPr>
              <w:t xml:space="preserve"> </w:t>
            </w:r>
            <w:r w:rsidRPr="001B0775">
              <w:rPr>
                <w:rFonts w:cs="Times New Roman"/>
              </w:rPr>
              <w:t>al</w:t>
            </w:r>
            <w:r>
              <w:rPr>
                <w:rFonts w:cs="Times New Roman"/>
              </w:rPr>
              <w:t>f</w:t>
            </w:r>
            <w:r w:rsidRPr="001B0775">
              <w:rPr>
                <w:rFonts w:cs="Times New Roman"/>
              </w:rPr>
              <w:t>a/beta</w:t>
            </w:r>
            <w:r>
              <w:rPr>
                <w:rFonts w:cs="Times New Roman"/>
              </w:rPr>
              <w:t xml:space="preserve"> and</w:t>
            </w:r>
            <w:r w:rsidRPr="001B077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&gt;</w:t>
            </w:r>
            <w:r w:rsidRPr="001B0775">
              <w:rPr>
                <w:rFonts w:cs="Times New Roman"/>
              </w:rPr>
              <w:t>4 weeks for darbepoetin</w:t>
            </w:r>
            <w:r>
              <w:rPr>
                <w:rFonts w:cs="Times New Roman"/>
              </w:rPr>
              <w:t xml:space="preserve"> </w:t>
            </w:r>
            <w:r w:rsidRPr="001B0775">
              <w:rPr>
                <w:rFonts w:cs="Times New Roman"/>
              </w:rPr>
              <w:t>al</w:t>
            </w:r>
            <w:r>
              <w:rPr>
                <w:rFonts w:cs="Times New Roman"/>
              </w:rPr>
              <w:t>f</w:t>
            </w:r>
            <w:r w:rsidRPr="001B0775">
              <w:rPr>
                <w:rFonts w:cs="Times New Roman"/>
              </w:rPr>
              <w:t>a or epoetin beta pegol</w:t>
            </w:r>
          </w:p>
          <w:p w14:paraId="75FE4EC3" w14:textId="77777777" w:rsidR="00DF1A87" w:rsidRPr="009F2854" w:rsidRDefault="00DF1A87" w:rsidP="00016F68">
            <w:pPr>
              <w:spacing w:line="276" w:lineRule="auto"/>
              <w:ind w:left="720"/>
              <w:rPr>
                <w:rFonts w:cs="Times New Roman"/>
                <w:i/>
              </w:rPr>
            </w:pPr>
            <w:r w:rsidRPr="009F2854">
              <w:rPr>
                <w:rFonts w:cs="Times New Roman"/>
                <w:i/>
              </w:rPr>
              <w:t xml:space="preserve">B: Pre-treated with ESA at </w:t>
            </w:r>
            <w:r>
              <w:rPr>
                <w:rFonts w:cs="Times New Roman"/>
                <w:i/>
              </w:rPr>
              <w:t>study drug assignment</w:t>
            </w:r>
          </w:p>
          <w:p w14:paraId="38209184" w14:textId="77777777" w:rsidR="00DF1A87" w:rsidRPr="004E7558" w:rsidRDefault="00DF1A87" w:rsidP="00DF1A87">
            <w:pPr>
              <w:pStyle w:val="ListParagraph"/>
              <w:numPr>
                <w:ilvl w:val="1"/>
                <w:numId w:val="45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Patient</w:t>
            </w:r>
            <w:r w:rsidRPr="004E7558">
              <w:rPr>
                <w:rFonts w:cs="Times New Roman"/>
              </w:rPr>
              <w:t xml:space="preserve"> with ESKD on peritoneal dialysis for </w:t>
            </w:r>
            <w:r>
              <w:rPr>
                <w:rFonts w:eastAsia="Calibri" w:cstheme="minorHAnsi"/>
                <w:szCs w:val="24"/>
                <w:lang w:eastAsia="en-GB"/>
              </w:rPr>
              <w:t>≥</w:t>
            </w:r>
            <w:r w:rsidRPr="004E7558">
              <w:rPr>
                <w:rFonts w:cs="Times New Roman"/>
              </w:rPr>
              <w:t xml:space="preserve">12 weeks </w:t>
            </w:r>
            <w:r>
              <w:rPr>
                <w:rFonts w:cs="Times New Roman"/>
              </w:rPr>
              <w:t>before</w:t>
            </w:r>
            <w:r w:rsidRPr="004E755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study drug </w:t>
            </w:r>
            <w:r w:rsidRPr="004E7558">
              <w:rPr>
                <w:rFonts w:cs="Times New Roman"/>
              </w:rPr>
              <w:t>assignment</w:t>
            </w:r>
          </w:p>
          <w:p w14:paraId="547B4666" w14:textId="77777777" w:rsidR="00DF1A87" w:rsidRPr="004E7558" w:rsidRDefault="00DF1A87" w:rsidP="00DF1A87">
            <w:pPr>
              <w:pStyle w:val="ListParagraph"/>
              <w:numPr>
                <w:ilvl w:val="1"/>
                <w:numId w:val="45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  <w:r w:rsidRPr="004E7558">
              <w:rPr>
                <w:rFonts w:cs="Times New Roman"/>
              </w:rPr>
              <w:t xml:space="preserve">reated with IV or SC ESA </w:t>
            </w:r>
            <w:r>
              <w:rPr>
                <w:rFonts w:cs="Times New Roman"/>
              </w:rPr>
              <w:t>during the</w:t>
            </w:r>
            <w:r w:rsidRPr="004E7558">
              <w:rPr>
                <w:rFonts w:cs="Times New Roman"/>
              </w:rPr>
              <w:t xml:space="preserve"> 8 weeks </w:t>
            </w:r>
            <w:r>
              <w:rPr>
                <w:rFonts w:cs="Times New Roman"/>
              </w:rPr>
              <w:t>before study drug</w:t>
            </w:r>
            <w:r w:rsidRPr="004E7558">
              <w:rPr>
                <w:rFonts w:cs="Times New Roman"/>
              </w:rPr>
              <w:t xml:space="preserve"> assignment</w:t>
            </w:r>
          </w:p>
          <w:p w14:paraId="1848A1E8" w14:textId="77777777" w:rsidR="00DF1A87" w:rsidRPr="001B0775" w:rsidRDefault="00DF1A87" w:rsidP="00DF1A87">
            <w:pPr>
              <w:pStyle w:val="ListParagraph"/>
              <w:numPr>
                <w:ilvl w:val="1"/>
                <w:numId w:val="45"/>
              </w:numPr>
              <w:spacing w:line="276" w:lineRule="auto"/>
              <w:rPr>
                <w:rFonts w:cs="Times New Roman"/>
              </w:rPr>
            </w:pPr>
            <w:r w:rsidRPr="004E7558">
              <w:rPr>
                <w:rFonts w:cs="Times New Roman"/>
              </w:rPr>
              <w:t>Treated with 2</w:t>
            </w:r>
            <w:r>
              <w:rPr>
                <w:rFonts w:cs="Times New Roman"/>
              </w:rPr>
              <w:t>-</w:t>
            </w:r>
            <w:r w:rsidRPr="004E7558">
              <w:rPr>
                <w:rFonts w:cs="Times New Roman"/>
              </w:rPr>
              <w:t xml:space="preserve"> or 4</w:t>
            </w:r>
            <w:r>
              <w:rPr>
                <w:rFonts w:cs="Times New Roman"/>
              </w:rPr>
              <w:t>-</w:t>
            </w:r>
            <w:r w:rsidRPr="004E7558">
              <w:rPr>
                <w:rFonts w:cs="Times New Roman"/>
              </w:rPr>
              <w:t>weekly dose of darbepoetin alfa, 4</w:t>
            </w:r>
            <w:r>
              <w:rPr>
                <w:rFonts w:cs="Times New Roman"/>
              </w:rPr>
              <w:t>-</w:t>
            </w:r>
            <w:r w:rsidRPr="004E7558">
              <w:rPr>
                <w:rFonts w:cs="Times New Roman"/>
              </w:rPr>
              <w:t>weekly dose of epoetin beta</w:t>
            </w:r>
            <w:r>
              <w:rPr>
                <w:rFonts w:cs="Times New Roman"/>
              </w:rPr>
              <w:t xml:space="preserve"> </w:t>
            </w:r>
            <w:r w:rsidRPr="001B0775">
              <w:rPr>
                <w:rFonts w:cs="Times New Roman"/>
              </w:rPr>
              <w:t>pegol, OR 3 times per week, twice per week, weekly or biweekly dose of epoetin</w:t>
            </w:r>
            <w:r>
              <w:rPr>
                <w:rFonts w:cs="Times New Roman"/>
              </w:rPr>
              <w:t xml:space="preserve"> </w:t>
            </w:r>
            <w:r w:rsidRPr="001B0775">
              <w:rPr>
                <w:rFonts w:cs="Times New Roman"/>
              </w:rPr>
              <w:t xml:space="preserve">alfa/beta, and having had no more than one dose change </w:t>
            </w:r>
            <w:r>
              <w:rPr>
                <w:rFonts w:cs="Times New Roman"/>
              </w:rPr>
              <w:t>during the</w:t>
            </w:r>
            <w:r w:rsidRPr="001B0775">
              <w:rPr>
                <w:rFonts w:cs="Times New Roman"/>
              </w:rPr>
              <w:t xml:space="preserve"> 8 weeks </w:t>
            </w:r>
            <w:r>
              <w:rPr>
                <w:rFonts w:cs="Times New Roman"/>
              </w:rPr>
              <w:t xml:space="preserve">before study drug </w:t>
            </w:r>
            <w:r w:rsidRPr="001B0775">
              <w:rPr>
                <w:rFonts w:cs="Times New Roman"/>
              </w:rPr>
              <w:t>assignment</w:t>
            </w:r>
          </w:p>
          <w:p w14:paraId="3577F582" w14:textId="77777777" w:rsidR="00DF1A87" w:rsidRPr="00FF7283" w:rsidRDefault="00DF1A87" w:rsidP="00DF1A87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cs="Times New Roman"/>
              </w:rPr>
            </w:pPr>
            <w:r w:rsidRPr="00FF7283">
              <w:rPr>
                <w:rFonts w:cs="Times New Roman"/>
              </w:rPr>
              <w:t>Patients who meet one of the following criteria</w:t>
            </w:r>
          </w:p>
          <w:p w14:paraId="561246DB" w14:textId="77777777" w:rsidR="00DF1A87" w:rsidRPr="009F2854" w:rsidRDefault="00DF1A87" w:rsidP="00016F68">
            <w:pPr>
              <w:pStyle w:val="ListParagraph"/>
              <w:spacing w:line="276" w:lineRule="auto"/>
              <w:rPr>
                <w:rFonts w:cs="Times New Roman"/>
                <w:i/>
              </w:rPr>
            </w:pPr>
            <w:r w:rsidRPr="009F2854">
              <w:rPr>
                <w:rFonts w:cs="Times New Roman"/>
                <w:i/>
              </w:rPr>
              <w:t xml:space="preserve">A: Untreated with ESA at </w:t>
            </w:r>
            <w:r>
              <w:rPr>
                <w:rFonts w:cs="Times New Roman"/>
                <w:i/>
              </w:rPr>
              <w:t>study drug assignment</w:t>
            </w:r>
          </w:p>
          <w:p w14:paraId="1635161B" w14:textId="77777777" w:rsidR="00DF1A87" w:rsidRPr="004E7558" w:rsidRDefault="00DF1A87" w:rsidP="00016F68">
            <w:pPr>
              <w:pStyle w:val="ListParagraph"/>
              <w:spacing w:line="276" w:lineRule="auto"/>
              <w:rPr>
                <w:rFonts w:cs="Times New Roman"/>
              </w:rPr>
            </w:pPr>
            <w:r w:rsidRPr="004E7558">
              <w:rPr>
                <w:rFonts w:cs="Times New Roman"/>
              </w:rPr>
              <w:t>Ferritin ≥50 ng/mL at screening</w:t>
            </w:r>
          </w:p>
          <w:p w14:paraId="0D9DB56C" w14:textId="77777777" w:rsidR="00DF1A87" w:rsidRDefault="00DF1A87" w:rsidP="00016F68">
            <w:pPr>
              <w:pStyle w:val="ListParagraph"/>
              <w:spacing w:line="276" w:lineRule="auto"/>
              <w:rPr>
                <w:rFonts w:cs="Times New Roman"/>
                <w:i/>
              </w:rPr>
            </w:pPr>
            <w:r w:rsidRPr="009F2854">
              <w:rPr>
                <w:rFonts w:cs="Times New Roman"/>
                <w:i/>
              </w:rPr>
              <w:t xml:space="preserve">B: Pre-treated with ESA at </w:t>
            </w:r>
            <w:r>
              <w:rPr>
                <w:rFonts w:cs="Times New Roman"/>
                <w:i/>
              </w:rPr>
              <w:t>study drug assignment</w:t>
            </w:r>
          </w:p>
          <w:p w14:paraId="764598C5" w14:textId="77777777" w:rsidR="00DF1A87" w:rsidRPr="00251B8D" w:rsidRDefault="00DF1A87" w:rsidP="00DF1A87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cs="Times New Roman"/>
              </w:rPr>
            </w:pPr>
            <w:r w:rsidRPr="00251B8D">
              <w:rPr>
                <w:rFonts w:cs="Times New Roman"/>
              </w:rPr>
              <w:t>Ferritin ≥100 ng/mL or transferrin saturation ≥20%</w:t>
            </w:r>
          </w:p>
        </w:tc>
      </w:tr>
      <w:tr w:rsidR="00DF1A87" w:rsidRPr="004966D8" w14:paraId="2E84EA24" w14:textId="77777777" w:rsidTr="00016F68">
        <w:tc>
          <w:tcPr>
            <w:tcW w:w="13783" w:type="dxa"/>
            <w:tcBorders>
              <w:bottom w:val="single" w:sz="4" w:space="0" w:color="auto"/>
            </w:tcBorders>
          </w:tcPr>
          <w:p w14:paraId="6B0110BC" w14:textId="77777777" w:rsidR="00DF1A87" w:rsidRPr="00AE47EE" w:rsidRDefault="00DF1A87" w:rsidP="00016F68">
            <w:pPr>
              <w:spacing w:line="276" w:lineRule="auto"/>
              <w:rPr>
                <w:rFonts w:cs="Times New Roman"/>
                <w:i/>
              </w:rPr>
            </w:pPr>
            <w:r w:rsidRPr="00AE47EE">
              <w:rPr>
                <w:rFonts w:cs="Times New Roman"/>
                <w:i/>
              </w:rPr>
              <w:lastRenderedPageBreak/>
              <w:t>MIYABI HD-M had five additional inclusion criteria</w:t>
            </w:r>
          </w:p>
          <w:p w14:paraId="22EBE08E" w14:textId="77777777" w:rsidR="00DF1A87" w:rsidRDefault="00DF1A87" w:rsidP="00DF1A87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Patients</w:t>
            </w:r>
            <w:r w:rsidRPr="00A03074">
              <w:rPr>
                <w:rFonts w:cs="Times New Roman"/>
              </w:rPr>
              <w:t xml:space="preserve"> with ESKD on dialysis (including </w:t>
            </w:r>
            <w:proofErr w:type="spellStart"/>
            <w:r w:rsidRPr="00A03074">
              <w:rPr>
                <w:rFonts w:cs="Times New Roman"/>
              </w:rPr>
              <w:t>h</w:t>
            </w:r>
            <w:r>
              <w:rPr>
                <w:rFonts w:cs="Times New Roman"/>
              </w:rPr>
              <w:t>a</w:t>
            </w:r>
            <w:r w:rsidRPr="00A03074">
              <w:rPr>
                <w:rFonts w:cs="Times New Roman"/>
              </w:rPr>
              <w:t>emodiafiltration</w:t>
            </w:r>
            <w:proofErr w:type="spellEnd"/>
            <w:r w:rsidRPr="00A03074">
              <w:rPr>
                <w:rFonts w:cs="Times New Roman"/>
              </w:rPr>
              <w:t xml:space="preserve">, </w:t>
            </w:r>
            <w:proofErr w:type="spellStart"/>
            <w:r w:rsidRPr="00A03074">
              <w:rPr>
                <w:rFonts w:cs="Times New Roman"/>
              </w:rPr>
              <w:t>h</w:t>
            </w:r>
            <w:r>
              <w:rPr>
                <w:rFonts w:cs="Times New Roman"/>
              </w:rPr>
              <w:t>a</w:t>
            </w:r>
            <w:r w:rsidRPr="00A03074">
              <w:rPr>
                <w:rFonts w:cs="Times New Roman"/>
              </w:rPr>
              <w:t>emofiltration</w:t>
            </w:r>
            <w:proofErr w:type="spellEnd"/>
            <w:r w:rsidRPr="00A03074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</w:t>
            </w:r>
            <w:r w:rsidRPr="00A03074">
              <w:rPr>
                <w:rFonts w:cs="Times New Roman"/>
              </w:rPr>
              <w:t>haemodialysis and other modalities except for peritoneal dialysis) weekly or more than</w:t>
            </w:r>
            <w:r>
              <w:rPr>
                <w:rFonts w:cs="Times New Roman"/>
              </w:rPr>
              <w:t xml:space="preserve"> </w:t>
            </w:r>
            <w:r w:rsidRPr="00A03074">
              <w:rPr>
                <w:rFonts w:cs="Times New Roman"/>
              </w:rPr>
              <w:t xml:space="preserve">weekly for </w:t>
            </w:r>
            <w:r>
              <w:rPr>
                <w:rFonts w:eastAsia="Calibri" w:cstheme="minorHAnsi"/>
                <w:szCs w:val="24"/>
                <w:lang w:eastAsia="en-GB"/>
              </w:rPr>
              <w:t>≥</w:t>
            </w:r>
            <w:r w:rsidRPr="00A03074">
              <w:rPr>
                <w:rFonts w:cs="Times New Roman"/>
              </w:rPr>
              <w:t xml:space="preserve">12 weeks </w:t>
            </w:r>
            <w:r>
              <w:rPr>
                <w:rFonts w:cs="Times New Roman"/>
              </w:rPr>
              <w:t>before</w:t>
            </w:r>
            <w:r w:rsidRPr="00A03074">
              <w:rPr>
                <w:rFonts w:cs="Times New Roman"/>
              </w:rPr>
              <w:t xml:space="preserve"> randomi</w:t>
            </w:r>
            <w:r>
              <w:rPr>
                <w:rFonts w:cs="Times New Roman"/>
              </w:rPr>
              <w:t>s</w:t>
            </w:r>
            <w:r w:rsidRPr="00A03074">
              <w:rPr>
                <w:rFonts w:cs="Times New Roman"/>
              </w:rPr>
              <w:t>ation</w:t>
            </w:r>
          </w:p>
          <w:p w14:paraId="4E125C8F" w14:textId="77777777" w:rsidR="00DF1A87" w:rsidRDefault="00DF1A87" w:rsidP="00DF1A87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cs="Times New Roman"/>
              </w:rPr>
            </w:pPr>
            <w:r w:rsidRPr="00A03074">
              <w:rPr>
                <w:rFonts w:cs="Times New Roman"/>
              </w:rPr>
              <w:t>Treated with the same ESA</w:t>
            </w:r>
            <w:r>
              <w:rPr>
                <w:rFonts w:cs="Times New Roman"/>
              </w:rPr>
              <w:t xml:space="preserve"> for</w:t>
            </w:r>
            <w:r w:rsidRPr="00A03074">
              <w:rPr>
                <w:rFonts w:cs="Times New Roman"/>
              </w:rPr>
              <w:t xml:space="preserve"> </w:t>
            </w:r>
            <w:r>
              <w:rPr>
                <w:rFonts w:eastAsia="Calibri" w:cstheme="minorHAnsi"/>
                <w:szCs w:val="24"/>
                <w:lang w:eastAsia="en-GB"/>
              </w:rPr>
              <w:t>≥</w:t>
            </w:r>
            <w:r w:rsidRPr="00A03074">
              <w:rPr>
                <w:rFonts w:cs="Times New Roman"/>
              </w:rPr>
              <w:t xml:space="preserve">8 weeks </w:t>
            </w:r>
            <w:r>
              <w:rPr>
                <w:rFonts w:cs="Times New Roman"/>
              </w:rPr>
              <w:t>before screening</w:t>
            </w:r>
          </w:p>
          <w:p w14:paraId="3175C3E6" w14:textId="77777777" w:rsidR="00DF1A87" w:rsidRDefault="00DF1A87" w:rsidP="00DF1A87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cs="Times New Roman"/>
              </w:rPr>
            </w:pPr>
            <w:r w:rsidRPr="00A03074">
              <w:rPr>
                <w:rFonts w:cs="Times New Roman"/>
              </w:rPr>
              <w:t>Treated with weekly or biweekly dose of darbepoetin alfa, monthly or biweekly dose</w:t>
            </w:r>
            <w:r>
              <w:rPr>
                <w:rFonts w:cs="Times New Roman"/>
              </w:rPr>
              <w:t xml:space="preserve"> </w:t>
            </w:r>
            <w:r w:rsidRPr="00A03074">
              <w:rPr>
                <w:rFonts w:cs="Times New Roman"/>
              </w:rPr>
              <w:t>of epoetin beta pegol, OR weekly, biweekly, twice or three times per week dose of</w:t>
            </w:r>
            <w:r>
              <w:rPr>
                <w:rFonts w:cs="Times New Roman"/>
              </w:rPr>
              <w:t xml:space="preserve"> </w:t>
            </w:r>
            <w:r w:rsidRPr="00A03074">
              <w:rPr>
                <w:rFonts w:cs="Times New Roman"/>
              </w:rPr>
              <w:t xml:space="preserve">epoetin alfa/beta, and having had no more than one dose change </w:t>
            </w:r>
            <w:r>
              <w:rPr>
                <w:rFonts w:cs="Times New Roman"/>
              </w:rPr>
              <w:t>during</w:t>
            </w:r>
            <w:r w:rsidRPr="00A0307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the </w:t>
            </w:r>
            <w:r w:rsidRPr="00A03074">
              <w:rPr>
                <w:rFonts w:cs="Times New Roman"/>
              </w:rPr>
              <w:t xml:space="preserve">8 weeks </w:t>
            </w:r>
            <w:r>
              <w:rPr>
                <w:rFonts w:cs="Times New Roman"/>
              </w:rPr>
              <w:t>before</w:t>
            </w:r>
            <w:r w:rsidRPr="00A03074">
              <w:rPr>
                <w:rFonts w:cs="Times New Roman"/>
              </w:rPr>
              <w:t xml:space="preserve"> randomi</w:t>
            </w:r>
            <w:r>
              <w:rPr>
                <w:rFonts w:cs="Times New Roman"/>
              </w:rPr>
              <w:t>s</w:t>
            </w:r>
            <w:r w:rsidRPr="00A03074">
              <w:rPr>
                <w:rFonts w:cs="Times New Roman"/>
              </w:rPr>
              <w:t>ation</w:t>
            </w:r>
          </w:p>
          <w:p w14:paraId="0DE92241" w14:textId="791499EE" w:rsidR="00DF1A87" w:rsidRDefault="00DF1A87" w:rsidP="00DF1A87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cs="Times New Roman"/>
              </w:rPr>
            </w:pPr>
            <w:r w:rsidRPr="00A03074">
              <w:rPr>
                <w:rFonts w:cs="Times New Roman"/>
              </w:rPr>
              <w:t>Mean screening Hb level ≥95 and &lt;120 g/L</w:t>
            </w:r>
            <w:r>
              <w:rPr>
                <w:rFonts w:cs="Times New Roman"/>
              </w:rPr>
              <w:t xml:space="preserve"> before dialysis</w:t>
            </w:r>
            <w:r w:rsidRPr="00A03074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 xml:space="preserve">based on </w:t>
            </w:r>
            <w:r w:rsidRPr="00A03074">
              <w:rPr>
                <w:rFonts w:cs="Times New Roman"/>
              </w:rPr>
              <w:t xml:space="preserve">at least </w:t>
            </w:r>
            <w:r>
              <w:rPr>
                <w:rFonts w:cs="Times New Roman"/>
              </w:rPr>
              <w:t>two</w:t>
            </w:r>
            <w:r w:rsidRPr="00A03074">
              <w:rPr>
                <w:rFonts w:cs="Times New Roman"/>
              </w:rPr>
              <w:t xml:space="preserve"> measurements taken ≥2 days apart</w:t>
            </w:r>
            <w:r>
              <w:rPr>
                <w:rFonts w:cs="Times New Roman"/>
              </w:rPr>
              <w:t>, assessed by the central laboratory</w:t>
            </w:r>
            <w:r w:rsidR="000E011E">
              <w:rPr>
                <w:rFonts w:cs="Times New Roman"/>
              </w:rPr>
              <w:t>;</w:t>
            </w:r>
            <w:r w:rsidRPr="00A03074">
              <w:rPr>
                <w:rFonts w:cs="Times New Roman"/>
              </w:rPr>
              <w:t xml:space="preserve"> the difference between the lowest level and highest level &lt;12 g/L), with the last screening Hb level measurement </w:t>
            </w:r>
            <w:r>
              <w:rPr>
                <w:rFonts w:cs="Times New Roman"/>
              </w:rPr>
              <w:t>during</w:t>
            </w:r>
            <w:r w:rsidRPr="00A0307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the </w:t>
            </w:r>
            <w:r w:rsidRPr="00A03074">
              <w:rPr>
                <w:rFonts w:cs="Times New Roman"/>
              </w:rPr>
              <w:t xml:space="preserve">14 days </w:t>
            </w:r>
            <w:r>
              <w:rPr>
                <w:rFonts w:cs="Times New Roman"/>
              </w:rPr>
              <w:t xml:space="preserve">before </w:t>
            </w:r>
            <w:r w:rsidRPr="00A03074">
              <w:rPr>
                <w:rFonts w:cs="Times New Roman"/>
              </w:rPr>
              <w:t>randomi</w:t>
            </w:r>
            <w:r>
              <w:rPr>
                <w:rFonts w:cs="Times New Roman"/>
              </w:rPr>
              <w:t>s</w:t>
            </w:r>
            <w:r w:rsidRPr="00A03074">
              <w:rPr>
                <w:rFonts w:cs="Times New Roman"/>
              </w:rPr>
              <w:t>ation</w:t>
            </w:r>
          </w:p>
          <w:p w14:paraId="43D3C6F8" w14:textId="77777777" w:rsidR="00DF1A87" w:rsidRPr="00251B8D" w:rsidRDefault="00DF1A87" w:rsidP="00DF1A87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cs="Times New Roman"/>
              </w:rPr>
            </w:pPr>
            <w:r w:rsidRPr="00251B8D">
              <w:rPr>
                <w:rFonts w:cs="Times New Roman"/>
              </w:rPr>
              <w:t>Ferritin ≥100 ng/mL or transferrin saturation ≥20% at screening</w:t>
            </w:r>
          </w:p>
        </w:tc>
      </w:tr>
      <w:tr w:rsidR="00DF1A87" w:rsidRPr="004966D8" w14:paraId="60C5182E" w14:textId="77777777" w:rsidTr="00016F68">
        <w:tc>
          <w:tcPr>
            <w:tcW w:w="13783" w:type="dxa"/>
            <w:tcBorders>
              <w:top w:val="single" w:sz="4" w:space="0" w:color="auto"/>
              <w:bottom w:val="single" w:sz="4" w:space="0" w:color="auto"/>
            </w:tcBorders>
          </w:tcPr>
          <w:p w14:paraId="3C173CF2" w14:textId="77777777" w:rsidR="00DF1A87" w:rsidRDefault="00DF1A87" w:rsidP="00016F68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Ex</w:t>
            </w:r>
            <w:r w:rsidRPr="003530A5">
              <w:rPr>
                <w:rFonts w:cs="Times New Roman"/>
                <w:b/>
              </w:rPr>
              <w:t>clusion criteria</w:t>
            </w:r>
          </w:p>
          <w:p w14:paraId="6289EFE5" w14:textId="77777777" w:rsidR="00DF1A87" w:rsidRPr="004966D8" w:rsidRDefault="00DF1A87" w:rsidP="00016F68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F1A87" w:rsidRPr="004966D8" w14:paraId="03AD5D35" w14:textId="77777777" w:rsidTr="00016F68">
        <w:tc>
          <w:tcPr>
            <w:tcW w:w="13783" w:type="dxa"/>
            <w:tcBorders>
              <w:top w:val="single" w:sz="4" w:space="0" w:color="auto"/>
              <w:bottom w:val="single" w:sz="4" w:space="0" w:color="auto"/>
            </w:tcBorders>
          </w:tcPr>
          <w:p w14:paraId="043D7D73" w14:textId="77777777" w:rsidR="00DF1A87" w:rsidRPr="00AE47EE" w:rsidRDefault="00DF1A87" w:rsidP="00016F68">
            <w:pPr>
              <w:spacing w:line="276" w:lineRule="auto"/>
              <w:rPr>
                <w:rFonts w:cs="Times New Roman"/>
                <w:i/>
              </w:rPr>
            </w:pPr>
            <w:r w:rsidRPr="00AE47EE">
              <w:rPr>
                <w:rFonts w:cs="Times New Roman"/>
                <w:i/>
              </w:rPr>
              <w:t>All three trials had the following exclusion criteria</w:t>
            </w:r>
          </w:p>
          <w:p w14:paraId="460244FF" w14:textId="77777777" w:rsidR="00DF1A87" w:rsidRPr="00B7609E" w:rsidRDefault="00DF1A87" w:rsidP="00DF1A8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cs="Times New Roman"/>
              </w:rPr>
            </w:pPr>
            <w:r w:rsidRPr="00B7609E">
              <w:rPr>
                <w:rFonts w:cs="Times New Roman"/>
              </w:rPr>
              <w:t>Any current condition leading to significant blood loss</w:t>
            </w:r>
          </w:p>
          <w:p w14:paraId="601DC885" w14:textId="77777777" w:rsidR="00DF1A87" w:rsidRPr="00B7609E" w:rsidRDefault="00DF1A87" w:rsidP="00DF1A8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cs="Times New Roman"/>
              </w:rPr>
            </w:pPr>
            <w:r w:rsidRPr="00B7609E">
              <w:rPr>
                <w:rFonts w:cs="Times New Roman"/>
              </w:rPr>
              <w:t>Active haemolysis or diagnosis of haemolytic syndrome</w:t>
            </w:r>
          </w:p>
          <w:p w14:paraId="71A28701" w14:textId="77777777" w:rsidR="00DF1A87" w:rsidRPr="00B7609E" w:rsidRDefault="00DF1A87" w:rsidP="00DF1A8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cs="Times New Roman"/>
              </w:rPr>
            </w:pPr>
            <w:r w:rsidRPr="00B7609E">
              <w:rPr>
                <w:rFonts w:cs="Times New Roman"/>
              </w:rPr>
              <w:t>Previous or concurrent myelodysplastic syndrome, multiple myeloma, marrow</w:t>
            </w:r>
            <w:r>
              <w:rPr>
                <w:rFonts w:cs="Times New Roman"/>
              </w:rPr>
              <w:t xml:space="preserve"> </w:t>
            </w:r>
            <w:r w:rsidRPr="00B7609E">
              <w:rPr>
                <w:rFonts w:cs="Times New Roman"/>
              </w:rPr>
              <w:t>fibrosis or PRCA</w:t>
            </w:r>
          </w:p>
          <w:p w14:paraId="032238C3" w14:textId="77777777" w:rsidR="00DF1A87" w:rsidRPr="00B7609E" w:rsidRDefault="00DF1A87" w:rsidP="00DF1A8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cs="Times New Roman"/>
              </w:rPr>
            </w:pPr>
            <w:r w:rsidRPr="00B7609E">
              <w:rPr>
                <w:rFonts w:cs="Times New Roman"/>
              </w:rPr>
              <w:t xml:space="preserve">Previous or concurrent </w:t>
            </w:r>
            <w:proofErr w:type="spellStart"/>
            <w:r w:rsidRPr="00B7609E">
              <w:rPr>
                <w:rFonts w:cs="Times New Roman"/>
              </w:rPr>
              <w:t>h</w:t>
            </w:r>
            <w:r>
              <w:rPr>
                <w:rFonts w:cs="Times New Roman"/>
              </w:rPr>
              <w:t>a</w:t>
            </w:r>
            <w:r w:rsidRPr="00B7609E">
              <w:rPr>
                <w:rFonts w:cs="Times New Roman"/>
              </w:rPr>
              <w:t>emosiderosis</w:t>
            </w:r>
            <w:proofErr w:type="spellEnd"/>
            <w:r w:rsidRPr="00B7609E">
              <w:rPr>
                <w:rFonts w:cs="Times New Roman"/>
              </w:rPr>
              <w:t xml:space="preserve"> or h</w:t>
            </w:r>
            <w:r>
              <w:rPr>
                <w:rFonts w:cs="Times New Roman"/>
              </w:rPr>
              <w:t>a</w:t>
            </w:r>
            <w:r w:rsidRPr="00B7609E">
              <w:rPr>
                <w:rFonts w:cs="Times New Roman"/>
              </w:rPr>
              <w:t>emochromatosis</w:t>
            </w:r>
          </w:p>
          <w:p w14:paraId="52E84D02" w14:textId="77777777" w:rsidR="00DF1A87" w:rsidRPr="00B7609E" w:rsidRDefault="00DF1A87" w:rsidP="00DF1A8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cs="Times New Roman"/>
              </w:rPr>
            </w:pPr>
            <w:r w:rsidRPr="00B7609E">
              <w:rPr>
                <w:rFonts w:cs="Times New Roman"/>
              </w:rPr>
              <w:t>Previous or concurrent hereditary h</w:t>
            </w:r>
            <w:r>
              <w:rPr>
                <w:rFonts w:cs="Times New Roman"/>
              </w:rPr>
              <w:t>a</w:t>
            </w:r>
            <w:r w:rsidRPr="00B7609E">
              <w:rPr>
                <w:rFonts w:cs="Times New Roman"/>
              </w:rPr>
              <w:t>emoglobinopathies (</w:t>
            </w:r>
            <w:proofErr w:type="spellStart"/>
            <w:r>
              <w:rPr>
                <w:rFonts w:cs="Times New Roman"/>
              </w:rPr>
              <w:t>eg</w:t>
            </w:r>
            <w:proofErr w:type="spellEnd"/>
            <w:r>
              <w:rPr>
                <w:rFonts w:cs="Times New Roman"/>
              </w:rPr>
              <w:t xml:space="preserve">, </w:t>
            </w:r>
            <w:r w:rsidRPr="00B7609E">
              <w:rPr>
                <w:rFonts w:cs="Times New Roman"/>
              </w:rPr>
              <w:t>sickle</w:t>
            </w:r>
            <w:r>
              <w:rPr>
                <w:rFonts w:cs="Times New Roman"/>
              </w:rPr>
              <w:t>-</w:t>
            </w:r>
            <w:r w:rsidRPr="00B7609E">
              <w:rPr>
                <w:rFonts w:cs="Times New Roman"/>
              </w:rPr>
              <w:t>cell disease, beta thalass</w:t>
            </w:r>
            <w:r>
              <w:rPr>
                <w:rFonts w:cs="Times New Roman"/>
              </w:rPr>
              <w:t>a</w:t>
            </w:r>
            <w:r w:rsidRPr="00B7609E">
              <w:rPr>
                <w:rFonts w:cs="Times New Roman"/>
              </w:rPr>
              <w:t>emia, thalass</w:t>
            </w:r>
            <w:r>
              <w:rPr>
                <w:rFonts w:cs="Times New Roman"/>
              </w:rPr>
              <w:t>a</w:t>
            </w:r>
            <w:r w:rsidRPr="00B7609E">
              <w:rPr>
                <w:rFonts w:cs="Times New Roman"/>
              </w:rPr>
              <w:t>emia major)</w:t>
            </w:r>
          </w:p>
          <w:p w14:paraId="34DF1A19" w14:textId="77777777" w:rsidR="00DF1A87" w:rsidRPr="00B7609E" w:rsidRDefault="00DF1A87" w:rsidP="00DF1A8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cs="Times New Roman"/>
              </w:rPr>
            </w:pPr>
            <w:r w:rsidRPr="00B7609E">
              <w:rPr>
                <w:rFonts w:cs="Times New Roman"/>
              </w:rPr>
              <w:lastRenderedPageBreak/>
              <w:t>Previous or concurrent aplastic anaemia</w:t>
            </w:r>
          </w:p>
          <w:p w14:paraId="6DF90FCA" w14:textId="77777777" w:rsidR="00DF1A87" w:rsidRPr="00B7609E" w:rsidRDefault="00DF1A87" w:rsidP="00DF1A8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cs="Times New Roman"/>
              </w:rPr>
            </w:pPr>
            <w:r w:rsidRPr="00B7609E">
              <w:rPr>
                <w:rFonts w:cs="Times New Roman"/>
              </w:rPr>
              <w:t>Previous or concurrent chronic lymphoproliferative diseases</w:t>
            </w:r>
          </w:p>
          <w:p w14:paraId="06DFA901" w14:textId="77777777" w:rsidR="00DF1A87" w:rsidRPr="00B7609E" w:rsidRDefault="00DF1A87" w:rsidP="00DF1A8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cs="Times New Roman"/>
              </w:rPr>
            </w:pPr>
            <w:r w:rsidRPr="00B7609E">
              <w:rPr>
                <w:rFonts w:cs="Times New Roman"/>
              </w:rPr>
              <w:t>Proliferative choroidal or retinal disease, such as neovascular age-related macular</w:t>
            </w:r>
            <w:r>
              <w:rPr>
                <w:rFonts w:cs="Times New Roman"/>
              </w:rPr>
              <w:t xml:space="preserve"> </w:t>
            </w:r>
            <w:r w:rsidRPr="00B7609E">
              <w:rPr>
                <w:rFonts w:cs="Times New Roman"/>
              </w:rPr>
              <w:t>degeneration or proliferative diabetic retinopathy requiring invasive treatment (</w:t>
            </w:r>
            <w:proofErr w:type="spellStart"/>
            <w:r w:rsidRPr="00B7609E">
              <w:rPr>
                <w:rFonts w:cs="Times New Roman"/>
              </w:rPr>
              <w:t>eg</w:t>
            </w:r>
            <w:proofErr w:type="spellEnd"/>
            <w:r w:rsidRPr="00B7609E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</w:t>
            </w:r>
            <w:r w:rsidRPr="00B7609E">
              <w:rPr>
                <w:rFonts w:cs="Times New Roman"/>
              </w:rPr>
              <w:t>intraocular injections or laser photocoagulation) at screening</w:t>
            </w:r>
          </w:p>
          <w:p w14:paraId="4D633F23" w14:textId="77777777" w:rsidR="00DF1A87" w:rsidRPr="00B7609E" w:rsidRDefault="00DF1A87" w:rsidP="00DF1A8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cs="Times New Roman"/>
              </w:rPr>
            </w:pPr>
            <w:r w:rsidRPr="00B7609E">
              <w:rPr>
                <w:rFonts w:cs="Times New Roman"/>
              </w:rPr>
              <w:t>Chronic inflammatory disease</w:t>
            </w:r>
            <w:r>
              <w:rPr>
                <w:rFonts w:cs="Times New Roman"/>
              </w:rPr>
              <w:t>,</w:t>
            </w:r>
            <w:r w:rsidRPr="00B7609E">
              <w:rPr>
                <w:rFonts w:cs="Times New Roman"/>
              </w:rPr>
              <w:t xml:space="preserve"> such as rheumatoid arthritis, systemic lupus</w:t>
            </w:r>
            <w:r>
              <w:rPr>
                <w:rFonts w:cs="Times New Roman"/>
              </w:rPr>
              <w:t xml:space="preserve"> </w:t>
            </w:r>
            <w:r w:rsidRPr="00B7609E">
              <w:rPr>
                <w:rFonts w:cs="Times New Roman"/>
              </w:rPr>
              <w:t>erythematosus, ankylosing spondylitis, psoriatic arthritis or inflammatory bowel disease,</w:t>
            </w:r>
            <w:r>
              <w:rPr>
                <w:rFonts w:cs="Times New Roman"/>
              </w:rPr>
              <w:t xml:space="preserve"> </w:t>
            </w:r>
            <w:r w:rsidRPr="00B7609E">
              <w:rPr>
                <w:rFonts w:cs="Times New Roman"/>
              </w:rPr>
              <w:t>which is determined to be the principal cause of the anaemia</w:t>
            </w:r>
          </w:p>
          <w:p w14:paraId="737A0F42" w14:textId="77777777" w:rsidR="00DF1A87" w:rsidRPr="00B7609E" w:rsidRDefault="00DF1A87" w:rsidP="00DF1A8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cs="Times New Roman"/>
              </w:rPr>
            </w:pPr>
            <w:r w:rsidRPr="00B7609E">
              <w:rPr>
                <w:rFonts w:cs="Times New Roman"/>
              </w:rPr>
              <w:t>Known hypersensitivity to the study drugs (active substances or excipients of the</w:t>
            </w:r>
            <w:r>
              <w:rPr>
                <w:rFonts w:cs="Times New Roman"/>
              </w:rPr>
              <w:t xml:space="preserve"> </w:t>
            </w:r>
            <w:r w:rsidRPr="00B7609E">
              <w:rPr>
                <w:rFonts w:cs="Times New Roman"/>
              </w:rPr>
              <w:t>preparations)</w:t>
            </w:r>
          </w:p>
          <w:p w14:paraId="2CA8463F" w14:textId="77777777" w:rsidR="00DF1A87" w:rsidRPr="00B7609E" w:rsidRDefault="00DF1A87" w:rsidP="00DF1A8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cs="Times New Roman"/>
              </w:rPr>
            </w:pPr>
            <w:r w:rsidRPr="00B7609E">
              <w:rPr>
                <w:rFonts w:cs="Times New Roman"/>
              </w:rPr>
              <w:t>Uncontrolled and symptomatic hyperparathyroidism</w:t>
            </w:r>
          </w:p>
          <w:p w14:paraId="4E9BAEAF" w14:textId="77777777" w:rsidR="00DF1A87" w:rsidRPr="00B7609E" w:rsidRDefault="00DF1A87" w:rsidP="00DF1A8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cs="Times New Roman"/>
              </w:rPr>
            </w:pPr>
            <w:r w:rsidRPr="00B7609E">
              <w:rPr>
                <w:rFonts w:cs="Times New Roman"/>
              </w:rPr>
              <w:t>Uncontrolled active infection at</w:t>
            </w:r>
            <w:r>
              <w:rPr>
                <w:rFonts w:cs="Times New Roman"/>
              </w:rPr>
              <w:t xml:space="preserve"> study drug</w:t>
            </w:r>
            <w:r w:rsidRPr="00B7609E">
              <w:rPr>
                <w:rFonts w:cs="Times New Roman"/>
              </w:rPr>
              <w:t xml:space="preserve"> assignment</w:t>
            </w:r>
          </w:p>
          <w:p w14:paraId="45895A92" w14:textId="77777777" w:rsidR="00DF1A87" w:rsidRPr="00B7609E" w:rsidRDefault="00DF1A87" w:rsidP="00DF1A8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cs="Times New Roman"/>
              </w:rPr>
            </w:pPr>
            <w:r w:rsidRPr="00B7609E">
              <w:rPr>
                <w:rFonts w:cs="Times New Roman"/>
              </w:rPr>
              <w:t xml:space="preserve">Previous or concurrent cancer except cervical carcinoma </w:t>
            </w:r>
            <w:r w:rsidRPr="009F2854">
              <w:rPr>
                <w:rFonts w:cs="Times New Roman"/>
                <w:i/>
              </w:rPr>
              <w:t>in situ</w:t>
            </w:r>
            <w:r w:rsidRPr="00B7609E">
              <w:rPr>
                <w:rFonts w:cs="Times New Roman"/>
              </w:rPr>
              <w:t>, treated basal cell</w:t>
            </w:r>
            <w:r>
              <w:rPr>
                <w:rFonts w:cs="Times New Roman"/>
              </w:rPr>
              <w:t xml:space="preserve"> </w:t>
            </w:r>
            <w:r w:rsidRPr="00B7609E">
              <w:rPr>
                <w:rFonts w:cs="Times New Roman"/>
              </w:rPr>
              <w:t xml:space="preserve">carcinoma, superficial bladder tumours (Ta, Tis and T1) or any cancer curatively treated &gt;3 years </w:t>
            </w:r>
            <w:r>
              <w:rPr>
                <w:rFonts w:cs="Times New Roman"/>
              </w:rPr>
              <w:t>before study drug</w:t>
            </w:r>
            <w:r w:rsidRPr="00B7609E">
              <w:rPr>
                <w:rFonts w:cs="Times New Roman"/>
              </w:rPr>
              <w:t xml:space="preserve"> assignment</w:t>
            </w:r>
          </w:p>
          <w:p w14:paraId="41647B90" w14:textId="77777777" w:rsidR="00DF1A87" w:rsidRPr="00B7609E" w:rsidRDefault="00DF1A87" w:rsidP="00DF1A8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cs="Times New Roman"/>
              </w:rPr>
            </w:pPr>
            <w:r w:rsidRPr="00B7609E">
              <w:rPr>
                <w:rFonts w:cs="Times New Roman"/>
              </w:rPr>
              <w:t>P</w:t>
            </w:r>
            <w:r>
              <w:rPr>
                <w:rFonts w:cs="Times New Roman"/>
              </w:rPr>
              <w:t>revious</w:t>
            </w:r>
            <w:r w:rsidRPr="00B7609E">
              <w:rPr>
                <w:rFonts w:cs="Times New Roman"/>
              </w:rPr>
              <w:t xml:space="preserve"> or scheduled organ transplantation (being on a transplant waiting</w:t>
            </w:r>
            <w:r>
              <w:rPr>
                <w:rFonts w:cs="Times New Roman"/>
              </w:rPr>
              <w:t xml:space="preserve"> </w:t>
            </w:r>
            <w:r w:rsidRPr="00B7609E">
              <w:rPr>
                <w:rFonts w:cs="Times New Roman"/>
              </w:rPr>
              <w:t xml:space="preserve">list does not exclude a </w:t>
            </w:r>
            <w:r>
              <w:rPr>
                <w:rFonts w:cs="Times New Roman"/>
              </w:rPr>
              <w:t>patient</w:t>
            </w:r>
            <w:r w:rsidRPr="00B7609E">
              <w:rPr>
                <w:rFonts w:cs="Times New Roman"/>
              </w:rPr>
              <w:t>)</w:t>
            </w:r>
          </w:p>
          <w:p w14:paraId="46E52C10" w14:textId="77777777" w:rsidR="00DF1A87" w:rsidRPr="00B7609E" w:rsidRDefault="00DF1A87" w:rsidP="00DF1A8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cs="Times New Roman"/>
              </w:rPr>
            </w:pPr>
            <w:r w:rsidRPr="00B7609E">
              <w:rPr>
                <w:rFonts w:cs="Times New Roman"/>
              </w:rPr>
              <w:t xml:space="preserve">History of alcohol or drug abuse </w:t>
            </w:r>
            <w:r>
              <w:rPr>
                <w:rFonts w:cs="Times New Roman"/>
              </w:rPr>
              <w:t>during the</w:t>
            </w:r>
            <w:r w:rsidRPr="00B7609E">
              <w:rPr>
                <w:rFonts w:cs="Times New Roman"/>
              </w:rPr>
              <w:t xml:space="preserve"> 2 years </w:t>
            </w:r>
            <w:r>
              <w:rPr>
                <w:rFonts w:cs="Times New Roman"/>
              </w:rPr>
              <w:t>before study drug</w:t>
            </w:r>
            <w:r w:rsidRPr="00B7609E">
              <w:rPr>
                <w:rFonts w:cs="Times New Roman"/>
              </w:rPr>
              <w:t xml:space="preserve"> assignment</w:t>
            </w:r>
          </w:p>
          <w:p w14:paraId="60D8391A" w14:textId="77777777" w:rsidR="00DF1A87" w:rsidRPr="00B7609E" w:rsidRDefault="00DF1A87" w:rsidP="00DF1A8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RBC</w:t>
            </w:r>
            <w:r w:rsidRPr="00B7609E">
              <w:rPr>
                <w:rFonts w:cs="Times New Roman"/>
              </w:rPr>
              <w:t xml:space="preserve">-containing transfusion for treatment of anaemia </w:t>
            </w:r>
            <w:r>
              <w:rPr>
                <w:rFonts w:cs="Times New Roman"/>
              </w:rPr>
              <w:t>during the</w:t>
            </w:r>
            <w:r w:rsidRPr="00B7609E">
              <w:rPr>
                <w:rFonts w:cs="Times New Roman"/>
              </w:rPr>
              <w:t xml:space="preserve"> 8 weeks</w:t>
            </w:r>
            <w:r>
              <w:rPr>
                <w:rFonts w:cs="Times New Roman"/>
              </w:rPr>
              <w:t xml:space="preserve"> before study drug</w:t>
            </w:r>
            <w:r w:rsidRPr="00B7609E">
              <w:rPr>
                <w:rFonts w:cs="Times New Roman"/>
              </w:rPr>
              <w:t xml:space="preserve"> assignment</w:t>
            </w:r>
          </w:p>
          <w:p w14:paraId="62138BBC" w14:textId="77777777" w:rsidR="00DF1A87" w:rsidRPr="0071022A" w:rsidRDefault="00DF1A87" w:rsidP="00DF1A8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cs="Times New Roman"/>
              </w:rPr>
            </w:pPr>
            <w:r w:rsidRPr="00B7609E">
              <w:rPr>
                <w:rFonts w:cs="Times New Roman"/>
              </w:rPr>
              <w:t>Treatment with uridine-diphosphate-glucuronosyltransferase 1 family, polypeptide A1</w:t>
            </w:r>
            <w:r>
              <w:rPr>
                <w:rFonts w:cs="Times New Roman"/>
              </w:rPr>
              <w:t xml:space="preserve"> </w:t>
            </w:r>
            <w:r w:rsidRPr="0071022A">
              <w:rPr>
                <w:rFonts w:cs="Times New Roman"/>
              </w:rPr>
              <w:t xml:space="preserve">inhibitors </w:t>
            </w:r>
            <w:r>
              <w:rPr>
                <w:rFonts w:cs="Times New Roman"/>
              </w:rPr>
              <w:t>during the</w:t>
            </w:r>
            <w:r w:rsidRPr="0071022A">
              <w:rPr>
                <w:rFonts w:cs="Times New Roman"/>
              </w:rPr>
              <w:t xml:space="preserve"> 7 days </w:t>
            </w:r>
            <w:r>
              <w:rPr>
                <w:rFonts w:cs="Times New Roman"/>
              </w:rPr>
              <w:t>before study drug</w:t>
            </w:r>
            <w:r w:rsidRPr="0071022A">
              <w:rPr>
                <w:rFonts w:cs="Times New Roman"/>
              </w:rPr>
              <w:t xml:space="preserve"> assignment:</w:t>
            </w:r>
          </w:p>
          <w:p w14:paraId="22E49DB7" w14:textId="77777777" w:rsidR="00DF1A87" w:rsidRPr="00B7609E" w:rsidRDefault="00DF1A87" w:rsidP="00DF1A87">
            <w:pPr>
              <w:pStyle w:val="ListParagraph"/>
              <w:numPr>
                <w:ilvl w:val="1"/>
                <w:numId w:val="43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Pr="00B7609E">
              <w:rPr>
                <w:rFonts w:cs="Times New Roman"/>
              </w:rPr>
              <w:t xml:space="preserve">ntiretroviral drugs </w:t>
            </w:r>
            <w:r>
              <w:rPr>
                <w:rFonts w:cs="Times New Roman"/>
              </w:rPr>
              <w:t>(</w:t>
            </w:r>
            <w:proofErr w:type="spellStart"/>
            <w:r w:rsidRPr="00B7609E">
              <w:rPr>
                <w:rFonts w:cs="Times New Roman"/>
              </w:rPr>
              <w:t>eg</w:t>
            </w:r>
            <w:proofErr w:type="spellEnd"/>
            <w:r w:rsidRPr="00B7609E">
              <w:rPr>
                <w:rFonts w:cs="Times New Roman"/>
              </w:rPr>
              <w:t>, ritonavir, saquinavir, atazanavir, indinavir, lopinavir, nelfinavir</w:t>
            </w:r>
            <w:r>
              <w:rPr>
                <w:rFonts w:cs="Times New Roman"/>
              </w:rPr>
              <w:t>)</w:t>
            </w:r>
          </w:p>
          <w:p w14:paraId="378336F8" w14:textId="77777777" w:rsidR="00DF1A87" w:rsidRPr="00B7609E" w:rsidRDefault="00DF1A87" w:rsidP="00DF1A87">
            <w:pPr>
              <w:pStyle w:val="ListParagraph"/>
              <w:numPr>
                <w:ilvl w:val="1"/>
                <w:numId w:val="43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  <w:r w:rsidRPr="00B7609E">
              <w:rPr>
                <w:rFonts w:cs="Times New Roman"/>
              </w:rPr>
              <w:t xml:space="preserve">yrosine kinase inhibitors </w:t>
            </w:r>
            <w:r>
              <w:rPr>
                <w:rFonts w:cs="Times New Roman"/>
              </w:rPr>
              <w:t>(</w:t>
            </w:r>
            <w:proofErr w:type="spellStart"/>
            <w:r w:rsidRPr="00242D45">
              <w:rPr>
                <w:rFonts w:cs="Times New Roman"/>
              </w:rPr>
              <w:t>eg</w:t>
            </w:r>
            <w:proofErr w:type="spellEnd"/>
            <w:r w:rsidRPr="00242D45">
              <w:rPr>
                <w:rFonts w:cs="Times New Roman"/>
              </w:rPr>
              <w:t>,</w:t>
            </w:r>
            <w:r w:rsidRPr="00B7609E">
              <w:rPr>
                <w:rFonts w:cs="Times New Roman"/>
              </w:rPr>
              <w:t xml:space="preserve"> erlotinib, pazopanib, nilotinib, sorafenib, regorafenib</w:t>
            </w:r>
            <w:r>
              <w:rPr>
                <w:rFonts w:cs="Times New Roman"/>
              </w:rPr>
              <w:t>)</w:t>
            </w:r>
          </w:p>
          <w:p w14:paraId="3FE0987E" w14:textId="77777777" w:rsidR="00DF1A87" w:rsidRPr="00B7609E" w:rsidRDefault="00DF1A87" w:rsidP="00DF1A87">
            <w:pPr>
              <w:pStyle w:val="ListParagraph"/>
              <w:numPr>
                <w:ilvl w:val="1"/>
                <w:numId w:val="43"/>
              </w:num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</w:t>
            </w:r>
            <w:r w:rsidRPr="00B7609E">
              <w:rPr>
                <w:rFonts w:cs="Times New Roman"/>
              </w:rPr>
              <w:t>ranilast</w:t>
            </w:r>
            <w:proofErr w:type="spellEnd"/>
          </w:p>
          <w:p w14:paraId="2646EFCB" w14:textId="77777777" w:rsidR="00DF1A87" w:rsidRPr="00242D45" w:rsidRDefault="00DF1A87" w:rsidP="00DF1A8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Patient</w:t>
            </w:r>
            <w:r w:rsidRPr="00B7609E">
              <w:rPr>
                <w:rFonts w:cs="Times New Roman"/>
              </w:rPr>
              <w:t xml:space="preserve">s treated with immune- or myelosuppressive therapy </w:t>
            </w:r>
            <w:r>
              <w:rPr>
                <w:rFonts w:cs="Times New Roman"/>
              </w:rPr>
              <w:t>during the</w:t>
            </w:r>
            <w:r w:rsidRPr="00B7609E">
              <w:rPr>
                <w:rFonts w:cs="Times New Roman"/>
              </w:rPr>
              <w:t xml:space="preserve"> 8 weeks </w:t>
            </w:r>
            <w:r>
              <w:rPr>
                <w:rFonts w:cs="Times New Roman"/>
              </w:rPr>
              <w:t xml:space="preserve">before study drug </w:t>
            </w:r>
            <w:r w:rsidRPr="00B7609E">
              <w:rPr>
                <w:rFonts w:cs="Times New Roman"/>
              </w:rPr>
              <w:t xml:space="preserve">assignment </w:t>
            </w:r>
            <w:r w:rsidRPr="00242D45">
              <w:rPr>
                <w:rFonts w:cs="Times New Roman"/>
              </w:rPr>
              <w:t>(</w:t>
            </w:r>
            <w:proofErr w:type="spellStart"/>
            <w:r w:rsidRPr="00242D45">
              <w:rPr>
                <w:rFonts w:cs="Times New Roman"/>
              </w:rPr>
              <w:t>eg</w:t>
            </w:r>
            <w:proofErr w:type="spellEnd"/>
            <w:r w:rsidRPr="00242D45">
              <w:rPr>
                <w:rFonts w:cs="Times New Roman"/>
              </w:rPr>
              <w:t xml:space="preserve">, </w:t>
            </w:r>
            <w:proofErr w:type="spellStart"/>
            <w:r w:rsidRPr="00242D45">
              <w:rPr>
                <w:rFonts w:cs="Times New Roman"/>
              </w:rPr>
              <w:t>everolimus</w:t>
            </w:r>
            <w:proofErr w:type="spellEnd"/>
            <w:r w:rsidRPr="00242D45">
              <w:rPr>
                <w:rFonts w:cs="Times New Roman"/>
              </w:rPr>
              <w:t>, sirolimus, rituximab, azathioprine, mycophenolate mofetil, mycophenolic acid, cyclosporine, methotrexate, tacrolimus, chemotherapeutic agents and other anticancer agents, and systemic steroids treatment [except inhaled steroids] for 7 days or more)</w:t>
            </w:r>
          </w:p>
          <w:p w14:paraId="0A6A064E" w14:textId="77777777" w:rsidR="00DF1A87" w:rsidRPr="00242D45" w:rsidRDefault="00DF1A87" w:rsidP="00DF1A8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cs="Times New Roman"/>
              </w:rPr>
            </w:pPr>
            <w:r w:rsidRPr="00242D45">
              <w:rPr>
                <w:rFonts w:cs="Times New Roman"/>
              </w:rPr>
              <w:t xml:space="preserve">Treated with the following therapies during the 8 weeks before study drug assignment: anabolic hormone, testosterone enanthate or </w:t>
            </w:r>
            <w:proofErr w:type="spellStart"/>
            <w:r w:rsidRPr="00242D45">
              <w:rPr>
                <w:rFonts w:cs="Times New Roman"/>
              </w:rPr>
              <w:t>mepitiostane</w:t>
            </w:r>
            <w:proofErr w:type="spellEnd"/>
          </w:p>
          <w:p w14:paraId="2080A3B9" w14:textId="77777777" w:rsidR="00DF1A87" w:rsidRPr="00B00626" w:rsidRDefault="00DF1A87" w:rsidP="00DF1A8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cs="Times New Roman"/>
              </w:rPr>
            </w:pPr>
            <w:r w:rsidRPr="00242D45">
              <w:rPr>
                <w:rFonts w:cs="Times New Roman"/>
              </w:rPr>
              <w:t xml:space="preserve">History of cardiovascular </w:t>
            </w:r>
            <w:r>
              <w:rPr>
                <w:rFonts w:cs="Times New Roman"/>
              </w:rPr>
              <w:t xml:space="preserve">or </w:t>
            </w:r>
            <w:r w:rsidRPr="00242D45">
              <w:rPr>
                <w:rFonts w:cs="Times New Roman"/>
              </w:rPr>
              <w:t>cerebrovascular events (</w:t>
            </w:r>
            <w:proofErr w:type="spellStart"/>
            <w:r w:rsidRPr="00242D45">
              <w:rPr>
                <w:rFonts w:cs="Times New Roman"/>
              </w:rPr>
              <w:t>eg</w:t>
            </w:r>
            <w:proofErr w:type="spellEnd"/>
            <w:r w:rsidRPr="00242D45">
              <w:rPr>
                <w:rFonts w:cs="Times New Roman"/>
              </w:rPr>
              <w:t>, unstable angina, myocardial infarction, stroke, pulmonary thromboembolism</w:t>
            </w:r>
            <w:r w:rsidRPr="00B00626">
              <w:rPr>
                <w:rFonts w:cs="Times New Roman"/>
              </w:rPr>
              <w:t xml:space="preserve"> and ALI) </w:t>
            </w:r>
            <w:r>
              <w:rPr>
                <w:rFonts w:cs="Times New Roman"/>
              </w:rPr>
              <w:t>during the</w:t>
            </w:r>
            <w:r w:rsidRPr="00B00626">
              <w:rPr>
                <w:rFonts w:cs="Times New Roman"/>
              </w:rPr>
              <w:t xml:space="preserve"> 6 months </w:t>
            </w:r>
            <w:r>
              <w:rPr>
                <w:rFonts w:cs="Times New Roman"/>
              </w:rPr>
              <w:t>before</w:t>
            </w:r>
            <w:r w:rsidRPr="00B0062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study drug </w:t>
            </w:r>
            <w:r w:rsidRPr="00B00626">
              <w:rPr>
                <w:rFonts w:cs="Times New Roman"/>
              </w:rPr>
              <w:t>assignment</w:t>
            </w:r>
          </w:p>
          <w:p w14:paraId="0215AB54" w14:textId="77777777" w:rsidR="00DF1A87" w:rsidRPr="00B00626" w:rsidRDefault="00DF1A87" w:rsidP="00DF1A8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cs="Times New Roman"/>
              </w:rPr>
            </w:pPr>
            <w:r w:rsidRPr="00B7609E">
              <w:rPr>
                <w:rFonts w:cs="Times New Roman"/>
              </w:rPr>
              <w:t>Sustained, poorly controlled arterial hypertension (defined as systolic BP ≥180mmHg or</w:t>
            </w:r>
            <w:r>
              <w:rPr>
                <w:rFonts w:cs="Times New Roman"/>
              </w:rPr>
              <w:t xml:space="preserve"> </w:t>
            </w:r>
            <w:r w:rsidRPr="00B00626">
              <w:rPr>
                <w:rFonts w:cs="Times New Roman"/>
              </w:rPr>
              <w:t>diastolic BP ≥110mmHg) or hypotension (defined as systolic BP &lt;90mmHg) at</w:t>
            </w:r>
            <w:r>
              <w:rPr>
                <w:rFonts w:cs="Times New Roman"/>
              </w:rPr>
              <w:t xml:space="preserve"> study drug </w:t>
            </w:r>
            <w:r w:rsidRPr="00B00626">
              <w:rPr>
                <w:rFonts w:cs="Times New Roman"/>
              </w:rPr>
              <w:t>assignment</w:t>
            </w:r>
          </w:p>
          <w:p w14:paraId="145A750F" w14:textId="77777777" w:rsidR="00DF1A87" w:rsidRPr="00B7609E" w:rsidRDefault="00DF1A87" w:rsidP="00DF1A8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NYHAc</w:t>
            </w:r>
            <w:r w:rsidRPr="00B7609E">
              <w:rPr>
                <w:rFonts w:cs="Times New Roman"/>
              </w:rPr>
              <w:t>lass</w:t>
            </w:r>
            <w:proofErr w:type="spellEnd"/>
            <w:r w:rsidRPr="00B7609E">
              <w:rPr>
                <w:rFonts w:cs="Times New Roman"/>
              </w:rPr>
              <w:t xml:space="preserve"> III or IV congestive heart failure</w:t>
            </w:r>
          </w:p>
          <w:p w14:paraId="6D497520" w14:textId="26623DCB" w:rsidR="00DF1A87" w:rsidRPr="009A4694" w:rsidRDefault="00DF1A87" w:rsidP="00DF1A8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cs="Times New Roman"/>
              </w:rPr>
            </w:pPr>
            <w:r w:rsidRPr="00B7609E">
              <w:rPr>
                <w:rFonts w:cs="Times New Roman"/>
              </w:rPr>
              <w:t xml:space="preserve">Severe hepatic disorder (defined as ALT or </w:t>
            </w:r>
            <w:r w:rsidRPr="00B00626">
              <w:rPr>
                <w:rFonts w:cs="Times New Roman"/>
              </w:rPr>
              <w:t>AST &gt;3 x the upper limit of normal, total bilirubin &gt;2</w:t>
            </w:r>
            <w:r w:rsidR="00274401">
              <w:rPr>
                <w:rFonts w:cs="Times New Roman"/>
              </w:rPr>
              <w:t>0</w:t>
            </w:r>
            <w:r w:rsidRPr="00B00626">
              <w:rPr>
                <w:rFonts w:cs="Times New Roman"/>
              </w:rPr>
              <w:t xml:space="preserve"> mg/L, or</w:t>
            </w:r>
            <w:r>
              <w:rPr>
                <w:rFonts w:cs="Times New Roman"/>
              </w:rPr>
              <w:t xml:space="preserve"> </w:t>
            </w:r>
            <w:r w:rsidRPr="009A4694">
              <w:rPr>
                <w:rFonts w:cs="Times New Roman"/>
              </w:rPr>
              <w:t>Child-Pugh B or C) at screening</w:t>
            </w:r>
          </w:p>
          <w:p w14:paraId="361F31B4" w14:textId="77777777" w:rsidR="00DF1A87" w:rsidRPr="00B7609E" w:rsidRDefault="00DF1A87" w:rsidP="00DF1A8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cs="Times New Roman"/>
              </w:rPr>
            </w:pPr>
            <w:r w:rsidRPr="00B7609E">
              <w:rPr>
                <w:rFonts w:cs="Times New Roman"/>
              </w:rPr>
              <w:t>Pr</w:t>
            </w:r>
            <w:r>
              <w:rPr>
                <w:rFonts w:cs="Times New Roman"/>
              </w:rPr>
              <w:t>evious</w:t>
            </w:r>
            <w:r w:rsidRPr="00B7609E">
              <w:rPr>
                <w:rFonts w:cs="Times New Roman"/>
              </w:rPr>
              <w:t xml:space="preserve"> use of molidustat</w:t>
            </w:r>
          </w:p>
          <w:p w14:paraId="65C2A194" w14:textId="77777777" w:rsidR="00DF1A87" w:rsidRPr="00B7609E" w:rsidRDefault="00DF1A87" w:rsidP="00DF1A8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cs="Times New Roman"/>
              </w:rPr>
            </w:pPr>
            <w:r w:rsidRPr="00B7609E">
              <w:rPr>
                <w:rFonts w:cs="Times New Roman"/>
              </w:rPr>
              <w:t xml:space="preserve">A </w:t>
            </w:r>
            <w:r>
              <w:rPr>
                <w:rFonts w:cs="Times New Roman"/>
              </w:rPr>
              <w:t>patient</w:t>
            </w:r>
            <w:r w:rsidRPr="00B7609E">
              <w:rPr>
                <w:rFonts w:cs="Times New Roman"/>
              </w:rPr>
              <w:t xml:space="preserve"> in need </w:t>
            </w:r>
            <w:r>
              <w:rPr>
                <w:rFonts w:cs="Times New Roman"/>
              </w:rPr>
              <w:t>of</w:t>
            </w:r>
            <w:r w:rsidRPr="00B7609E">
              <w:rPr>
                <w:rFonts w:cs="Times New Roman"/>
              </w:rPr>
              <w:t xml:space="preserve"> surgery that may be expected to lead to significant blood loss</w:t>
            </w:r>
          </w:p>
          <w:p w14:paraId="76BD86C6" w14:textId="77777777" w:rsidR="00DF1A87" w:rsidRPr="00B00626" w:rsidRDefault="00DF1A87" w:rsidP="00DF1A8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cs="Times New Roman"/>
              </w:rPr>
            </w:pPr>
            <w:r w:rsidRPr="00B7609E">
              <w:rPr>
                <w:rFonts w:cs="Times New Roman"/>
              </w:rPr>
              <w:t xml:space="preserve">Expected need for rescue treatment </w:t>
            </w:r>
            <w:r>
              <w:rPr>
                <w:rFonts w:cs="Times New Roman"/>
              </w:rPr>
              <w:t>during</w:t>
            </w:r>
            <w:r w:rsidRPr="00B7609E">
              <w:rPr>
                <w:rFonts w:cs="Times New Roman"/>
              </w:rPr>
              <w:t xml:space="preserve"> the next 7 days after</w:t>
            </w:r>
            <w:r>
              <w:rPr>
                <w:rFonts w:cs="Times New Roman"/>
              </w:rPr>
              <w:t xml:space="preserve"> study drug </w:t>
            </w:r>
            <w:r w:rsidRPr="00B00626">
              <w:rPr>
                <w:rFonts w:cs="Times New Roman"/>
              </w:rPr>
              <w:t>assignment</w:t>
            </w:r>
          </w:p>
          <w:p w14:paraId="5FE85C3A" w14:textId="77777777" w:rsidR="00DF1A87" w:rsidRPr="00B7609E" w:rsidRDefault="00DF1A87" w:rsidP="00DF1A8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cs="Times New Roman"/>
              </w:rPr>
            </w:pPr>
            <w:r w:rsidRPr="00B7609E">
              <w:rPr>
                <w:rFonts w:cs="Times New Roman"/>
              </w:rPr>
              <w:t>Active hepatitis, as assessed by the investigator</w:t>
            </w:r>
          </w:p>
          <w:p w14:paraId="70271879" w14:textId="77777777" w:rsidR="00DF1A87" w:rsidRPr="00B00626" w:rsidRDefault="00DF1A87" w:rsidP="00DF1A8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cs="Times New Roman"/>
              </w:rPr>
            </w:pPr>
            <w:r w:rsidRPr="00B7609E">
              <w:rPr>
                <w:rFonts w:cs="Times New Roman"/>
              </w:rPr>
              <w:t>Any medical condition</w:t>
            </w:r>
            <w:r>
              <w:rPr>
                <w:rFonts w:cs="Times New Roman"/>
              </w:rPr>
              <w:t xml:space="preserve"> that</w:t>
            </w:r>
            <w:r w:rsidRPr="00B7609E">
              <w:rPr>
                <w:rFonts w:cs="Times New Roman"/>
              </w:rPr>
              <w:t xml:space="preserve"> in the opinion of the investigator may pose a safety risk</w:t>
            </w:r>
            <w:r>
              <w:rPr>
                <w:rFonts w:cs="Times New Roman"/>
              </w:rPr>
              <w:t xml:space="preserve"> </w:t>
            </w:r>
            <w:r w:rsidRPr="00B00626">
              <w:rPr>
                <w:rFonts w:cs="Times New Roman"/>
              </w:rPr>
              <w:t xml:space="preserve">to a </w:t>
            </w:r>
            <w:r>
              <w:rPr>
                <w:rFonts w:cs="Times New Roman"/>
              </w:rPr>
              <w:t>patient</w:t>
            </w:r>
            <w:r w:rsidRPr="00B00626">
              <w:rPr>
                <w:rFonts w:cs="Times New Roman"/>
              </w:rPr>
              <w:t xml:space="preserve"> in this study, may confound safety or efficacy assessment or may interfere</w:t>
            </w:r>
            <w:r>
              <w:rPr>
                <w:rFonts w:cs="Times New Roman"/>
              </w:rPr>
              <w:t xml:space="preserve"> </w:t>
            </w:r>
            <w:r w:rsidRPr="00B00626">
              <w:rPr>
                <w:rFonts w:cs="Times New Roman"/>
              </w:rPr>
              <w:t>with study participation</w:t>
            </w:r>
          </w:p>
          <w:p w14:paraId="26E2E061" w14:textId="77777777" w:rsidR="00DF1A87" w:rsidRPr="00B7609E" w:rsidRDefault="00DF1A87" w:rsidP="00DF1A8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cs="Times New Roman"/>
              </w:rPr>
            </w:pPr>
            <w:r w:rsidRPr="00B7609E">
              <w:rPr>
                <w:rFonts w:cs="Times New Roman"/>
              </w:rPr>
              <w:t>Previous assignment to</w:t>
            </w:r>
            <w:r>
              <w:rPr>
                <w:rFonts w:cs="Times New Roman"/>
              </w:rPr>
              <w:t xml:space="preserve"> study treatment</w:t>
            </w:r>
            <w:r w:rsidRPr="00B7609E">
              <w:rPr>
                <w:rFonts w:cs="Times New Roman"/>
              </w:rPr>
              <w:t xml:space="preserve"> during this study</w:t>
            </w:r>
          </w:p>
          <w:p w14:paraId="68C6BDFB" w14:textId="77777777" w:rsidR="00DF1A87" w:rsidRPr="00B00626" w:rsidRDefault="00DF1A87" w:rsidP="00DF1A8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cs="Times New Roman"/>
              </w:rPr>
            </w:pPr>
            <w:r w:rsidRPr="00B7609E">
              <w:rPr>
                <w:rFonts w:cs="Times New Roman"/>
              </w:rPr>
              <w:t>Previous (</w:t>
            </w:r>
            <w:r>
              <w:rPr>
                <w:rFonts w:cs="Times New Roman"/>
              </w:rPr>
              <w:t>during</w:t>
            </w:r>
            <w:r w:rsidRPr="00B7609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the </w:t>
            </w:r>
            <w:r w:rsidRPr="00B7609E">
              <w:rPr>
                <w:rFonts w:cs="Times New Roman"/>
              </w:rPr>
              <w:t xml:space="preserve">30 days </w:t>
            </w:r>
            <w:r>
              <w:rPr>
                <w:rFonts w:cs="Times New Roman"/>
              </w:rPr>
              <w:t>before study drug</w:t>
            </w:r>
            <w:r w:rsidRPr="00B7609E">
              <w:rPr>
                <w:rFonts w:cs="Times New Roman"/>
              </w:rPr>
              <w:t xml:space="preserve"> assignment) or concomitant participation in another</w:t>
            </w:r>
            <w:r>
              <w:rPr>
                <w:rFonts w:cs="Times New Roman"/>
              </w:rPr>
              <w:t xml:space="preserve"> </w:t>
            </w:r>
            <w:r w:rsidRPr="00B00626">
              <w:rPr>
                <w:rFonts w:cs="Times New Roman"/>
              </w:rPr>
              <w:t>clinical study with investigational medicinal product(s)</w:t>
            </w:r>
          </w:p>
          <w:p w14:paraId="2B7330BC" w14:textId="77777777" w:rsidR="00DF1A87" w:rsidRPr="00B00626" w:rsidRDefault="00DF1A87" w:rsidP="00DF1A8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cs="Times New Roman"/>
              </w:rPr>
            </w:pPr>
            <w:r w:rsidRPr="00B7609E">
              <w:rPr>
                <w:rFonts w:cs="Times New Roman"/>
              </w:rPr>
              <w:t>Close affiliation with the investigational site</w:t>
            </w:r>
            <w:r>
              <w:rPr>
                <w:rFonts w:cs="Times New Roman"/>
              </w:rPr>
              <w:t>,</w:t>
            </w:r>
            <w:r w:rsidRPr="00B7609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for example, </w:t>
            </w:r>
            <w:r w:rsidRPr="00B7609E">
              <w:rPr>
                <w:rFonts w:cs="Times New Roman"/>
              </w:rPr>
              <w:t>a close relative of the investigator,</w:t>
            </w:r>
            <w:r>
              <w:rPr>
                <w:rFonts w:cs="Times New Roman"/>
              </w:rPr>
              <w:t xml:space="preserve"> </w:t>
            </w:r>
            <w:r w:rsidRPr="00B00626">
              <w:rPr>
                <w:rFonts w:cs="Times New Roman"/>
              </w:rPr>
              <w:t>dependent person</w:t>
            </w:r>
            <w:r>
              <w:rPr>
                <w:rFonts w:cs="Times New Roman"/>
              </w:rPr>
              <w:t xml:space="preserve"> (</w:t>
            </w:r>
            <w:proofErr w:type="spellStart"/>
            <w:r w:rsidRPr="00B00626">
              <w:rPr>
                <w:rFonts w:cs="Times New Roman"/>
              </w:rPr>
              <w:t>eg</w:t>
            </w:r>
            <w:proofErr w:type="spellEnd"/>
            <w:r>
              <w:rPr>
                <w:rFonts w:cs="Times New Roman"/>
              </w:rPr>
              <w:t>,</w:t>
            </w:r>
            <w:r w:rsidRPr="00B00626">
              <w:rPr>
                <w:rFonts w:cs="Times New Roman"/>
              </w:rPr>
              <w:t xml:space="preserve"> employee or student </w:t>
            </w:r>
            <w:r>
              <w:rPr>
                <w:rFonts w:cs="Times New Roman"/>
              </w:rPr>
              <w:t>at</w:t>
            </w:r>
            <w:r w:rsidRPr="00B00626">
              <w:rPr>
                <w:rFonts w:cs="Times New Roman"/>
              </w:rPr>
              <w:t xml:space="preserve"> the investigational site)</w:t>
            </w:r>
          </w:p>
          <w:p w14:paraId="7D215B02" w14:textId="77777777" w:rsidR="00DF1A87" w:rsidRPr="00A82FD5" w:rsidRDefault="00DF1A87" w:rsidP="00DF1A8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B76BFA">
              <w:rPr>
                <w:rFonts w:cs="Times New Roman"/>
              </w:rPr>
              <w:t>regnant</w:t>
            </w:r>
            <w:r w:rsidRPr="00A82FD5">
              <w:rPr>
                <w:rFonts w:cs="Times New Roman"/>
              </w:rPr>
              <w:t xml:space="preserve"> or breastfeeding</w:t>
            </w:r>
            <w:r>
              <w:rPr>
                <w:rFonts w:cs="Times New Roman"/>
              </w:rPr>
              <w:t xml:space="preserve"> women</w:t>
            </w:r>
          </w:p>
        </w:tc>
      </w:tr>
      <w:tr w:rsidR="00DF1A87" w:rsidRPr="004966D8" w14:paraId="16476B47" w14:textId="77777777" w:rsidTr="00016F68">
        <w:tc>
          <w:tcPr>
            <w:tcW w:w="13783" w:type="dxa"/>
            <w:tcBorders>
              <w:top w:val="single" w:sz="4" w:space="0" w:color="auto"/>
              <w:bottom w:val="single" w:sz="4" w:space="0" w:color="auto"/>
            </w:tcBorders>
          </w:tcPr>
          <w:p w14:paraId="2CDD68F0" w14:textId="77777777" w:rsidR="00DF1A87" w:rsidRPr="00AE47EE" w:rsidRDefault="00DF1A87" w:rsidP="00016F68">
            <w:pPr>
              <w:spacing w:line="276" w:lineRule="auto"/>
              <w:rPr>
                <w:rFonts w:cs="Times New Roman"/>
                <w:i/>
              </w:rPr>
            </w:pPr>
            <w:r w:rsidRPr="00AE47EE">
              <w:rPr>
                <w:rFonts w:cs="Times New Roman"/>
                <w:i/>
              </w:rPr>
              <w:lastRenderedPageBreak/>
              <w:t>MIYABI PD had two additional exclusion criteria</w:t>
            </w:r>
          </w:p>
          <w:p w14:paraId="450F78E2" w14:textId="77777777" w:rsidR="00DF1A87" w:rsidRDefault="00DF1A87" w:rsidP="00DF1A87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cs="Times New Roman"/>
              </w:rPr>
            </w:pPr>
            <w:r w:rsidRPr="00765815">
              <w:rPr>
                <w:rFonts w:cs="Times New Roman"/>
              </w:rPr>
              <w:t>Previous or concurrent indications for removal of peritoneal dialysis catheter (</w:t>
            </w:r>
            <w:proofErr w:type="spellStart"/>
            <w:r w:rsidRPr="00765815">
              <w:rPr>
                <w:rFonts w:cs="Times New Roman"/>
              </w:rPr>
              <w:t>eg</w:t>
            </w:r>
            <w:proofErr w:type="spellEnd"/>
            <w:r w:rsidRPr="00765815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</w:t>
            </w:r>
            <w:r w:rsidRPr="00765815">
              <w:rPr>
                <w:rFonts w:cs="Times New Roman"/>
              </w:rPr>
              <w:t>recurrent peritoneum inflammation, refractory tunnel infection)</w:t>
            </w:r>
          </w:p>
          <w:p w14:paraId="7D9D4AB1" w14:textId="77777777" w:rsidR="00DF1A87" w:rsidRPr="00644721" w:rsidRDefault="00DF1A87" w:rsidP="00DF1A87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cs="Times New Roman"/>
              </w:rPr>
            </w:pPr>
            <w:r w:rsidRPr="00644721">
              <w:rPr>
                <w:rFonts w:cs="Times New Roman"/>
              </w:rPr>
              <w:t>Concomitant use of maintenance dialysis (</w:t>
            </w:r>
            <w:proofErr w:type="spellStart"/>
            <w:r w:rsidRPr="00644721">
              <w:rPr>
                <w:rFonts w:cs="Times New Roman"/>
              </w:rPr>
              <w:t>eg</w:t>
            </w:r>
            <w:proofErr w:type="spellEnd"/>
            <w:r w:rsidRPr="00644721">
              <w:rPr>
                <w:rFonts w:cs="Times New Roman"/>
              </w:rPr>
              <w:t xml:space="preserve">, haemodialysis, </w:t>
            </w:r>
            <w:proofErr w:type="spellStart"/>
            <w:r w:rsidRPr="00644721">
              <w:rPr>
                <w:rFonts w:cs="Times New Roman"/>
              </w:rPr>
              <w:t>haemodiafiltration</w:t>
            </w:r>
            <w:proofErr w:type="spellEnd"/>
            <w:r w:rsidRPr="00644721">
              <w:rPr>
                <w:rFonts w:cs="Times New Roman"/>
              </w:rPr>
              <w:t>) other than peritoneal dialysis</w:t>
            </w:r>
          </w:p>
        </w:tc>
      </w:tr>
    </w:tbl>
    <w:p w14:paraId="4CEB49C0" w14:textId="77777777" w:rsidR="00DF1A87" w:rsidRPr="004966D8" w:rsidRDefault="00DF1A87" w:rsidP="00DF1A87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ALI, acute limb ischaemia; ALT, alanine aminotransferase; AST, aspartate aminotransferase; BP, blood pressure; </w:t>
      </w:r>
      <w:r w:rsidRPr="004966D8">
        <w:rPr>
          <w:rFonts w:cs="Times New Roman"/>
        </w:rPr>
        <w:t xml:space="preserve">ESA, </w:t>
      </w:r>
      <w:r w:rsidRPr="004966D8">
        <w:rPr>
          <w:rFonts w:cs="Times New Roman"/>
          <w:szCs w:val="24"/>
        </w:rPr>
        <w:t xml:space="preserve">erythropoiesis-stimulating agent; </w:t>
      </w:r>
      <w:r>
        <w:rPr>
          <w:rFonts w:cs="Times New Roman"/>
          <w:szCs w:val="24"/>
        </w:rPr>
        <w:t xml:space="preserve">ESKD, end-stage kidney disease; </w:t>
      </w:r>
      <w:r>
        <w:rPr>
          <w:rFonts w:cs="Times New Roman"/>
        </w:rPr>
        <w:t>FSH, follicle-stimulating hormone;</w:t>
      </w:r>
      <w:r>
        <w:rPr>
          <w:rFonts w:cs="Times New Roman"/>
          <w:szCs w:val="24"/>
        </w:rPr>
        <w:t xml:space="preserve"> </w:t>
      </w:r>
      <w:r w:rsidRPr="004966D8">
        <w:rPr>
          <w:rFonts w:cs="Times New Roman"/>
          <w:szCs w:val="24"/>
        </w:rPr>
        <w:t>Hb, haemoglobin</w:t>
      </w:r>
      <w:r>
        <w:rPr>
          <w:rFonts w:cs="Times New Roman"/>
          <w:szCs w:val="24"/>
        </w:rPr>
        <w:t xml:space="preserve">; HIF-PH, hypoxia-inducible factor propyl </w:t>
      </w:r>
      <w:proofErr w:type="spellStart"/>
      <w:r>
        <w:rPr>
          <w:rFonts w:cs="Times New Roman"/>
          <w:szCs w:val="24"/>
        </w:rPr>
        <w:t>hydoxylase</w:t>
      </w:r>
      <w:proofErr w:type="spellEnd"/>
      <w:r>
        <w:rPr>
          <w:rFonts w:cs="Times New Roman"/>
          <w:szCs w:val="24"/>
        </w:rPr>
        <w:t xml:space="preserve">; IV, intravenous; </w:t>
      </w:r>
      <w:r w:rsidRPr="003530A5">
        <w:rPr>
          <w:rFonts w:cs="Times New Roman"/>
        </w:rPr>
        <w:t>LLN</w:t>
      </w:r>
      <w:r>
        <w:rPr>
          <w:rFonts w:cs="Times New Roman"/>
        </w:rPr>
        <w:t xml:space="preserve">, lower limit of normal; NYHA, </w:t>
      </w:r>
      <w:r w:rsidRPr="00B7609E">
        <w:rPr>
          <w:rFonts w:cs="Times New Roman"/>
        </w:rPr>
        <w:t>New York Heart Association</w:t>
      </w:r>
      <w:r>
        <w:rPr>
          <w:rFonts w:cs="Times New Roman"/>
        </w:rPr>
        <w:t xml:space="preserve">; </w:t>
      </w:r>
      <w:r w:rsidRPr="00B7609E">
        <w:rPr>
          <w:rFonts w:cs="Times New Roman"/>
        </w:rPr>
        <w:t>PRCA</w:t>
      </w:r>
      <w:r>
        <w:rPr>
          <w:rFonts w:cs="Times New Roman"/>
        </w:rPr>
        <w:t xml:space="preserve">, </w:t>
      </w:r>
      <w:r w:rsidRPr="009A4694">
        <w:rPr>
          <w:rFonts w:cs="Times New Roman"/>
        </w:rPr>
        <w:t>pure red</w:t>
      </w:r>
      <w:r>
        <w:rPr>
          <w:rFonts w:cs="Times New Roman"/>
        </w:rPr>
        <w:t xml:space="preserve"> </w:t>
      </w:r>
      <w:r w:rsidRPr="009A4694">
        <w:rPr>
          <w:rFonts w:cs="Times New Roman"/>
        </w:rPr>
        <w:t>cell aplasia</w:t>
      </w:r>
      <w:r>
        <w:rPr>
          <w:rFonts w:cs="Times New Roman"/>
        </w:rPr>
        <w:t xml:space="preserve">; </w:t>
      </w:r>
      <w:r w:rsidRPr="00B7609E">
        <w:rPr>
          <w:rFonts w:cs="Times New Roman"/>
        </w:rPr>
        <w:t>R</w:t>
      </w:r>
      <w:r>
        <w:rPr>
          <w:rFonts w:cs="Times New Roman"/>
        </w:rPr>
        <w:t>BC, r</w:t>
      </w:r>
      <w:r w:rsidRPr="00B7609E">
        <w:rPr>
          <w:rFonts w:cs="Times New Roman"/>
        </w:rPr>
        <w:t>ed blood cell</w:t>
      </w:r>
      <w:r>
        <w:rPr>
          <w:rFonts w:cs="Times New Roman"/>
        </w:rPr>
        <w:t xml:space="preserve">; SC, subcutaneous. </w:t>
      </w:r>
    </w:p>
    <w:p w14:paraId="0B675C56" w14:textId="77777777" w:rsidR="00615B0F" w:rsidRDefault="00615B0F">
      <w:pP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br w:type="page"/>
      </w:r>
    </w:p>
    <w:p w14:paraId="3DDFDBEA" w14:textId="5C69BEB3" w:rsidR="001104C2" w:rsidRDefault="00DE4B43" w:rsidP="00DC420B">
      <w:pPr>
        <w:spacing w:line="360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Supplementary </w:t>
      </w:r>
      <w:r w:rsidR="00DD3BFD">
        <w:rPr>
          <w:rFonts w:cs="Times New Roman"/>
          <w:b/>
          <w:lang w:val="en-US"/>
        </w:rPr>
        <w:t>t</w:t>
      </w:r>
      <w:r w:rsidR="00641F66" w:rsidRPr="00982122">
        <w:rPr>
          <w:rFonts w:cs="Times New Roman"/>
          <w:b/>
          <w:lang w:val="en-US"/>
        </w:rPr>
        <w:t xml:space="preserve">able </w:t>
      </w:r>
      <w:r w:rsidR="00DF1A87">
        <w:rPr>
          <w:rFonts w:cs="Times New Roman"/>
          <w:b/>
          <w:lang w:val="en-US"/>
        </w:rPr>
        <w:t xml:space="preserve">2 </w:t>
      </w:r>
      <w:r w:rsidRPr="00DE4B43">
        <w:rPr>
          <w:rFonts w:cs="Times New Roman"/>
          <w:lang w:val="en-US"/>
        </w:rPr>
        <w:t xml:space="preserve">Dose </w:t>
      </w:r>
      <w:r w:rsidR="00BD7177">
        <w:rPr>
          <w:rFonts w:cs="Times New Roman"/>
          <w:lang w:val="en-US"/>
        </w:rPr>
        <w:t>titration</w:t>
      </w:r>
      <w:r w:rsidR="0059754F">
        <w:rPr>
          <w:rFonts w:cs="Times New Roman"/>
          <w:lang w:val="en-US"/>
        </w:rPr>
        <w:t xml:space="preserve"> for molidustat</w:t>
      </w:r>
      <w:r w:rsidRPr="00DE4B43">
        <w:rPr>
          <w:rFonts w:cs="Times New Roman"/>
          <w:lang w:val="en-US"/>
        </w:rPr>
        <w:t xml:space="preserve"> at </w:t>
      </w:r>
      <w:r w:rsidR="00DD3BFD">
        <w:rPr>
          <w:rFonts w:cs="Times New Roman"/>
          <w:lang w:val="en-US"/>
        </w:rPr>
        <w:t>w</w:t>
      </w:r>
      <w:r w:rsidRPr="00DE4B43">
        <w:rPr>
          <w:rFonts w:cs="Times New Roman"/>
          <w:lang w:val="en-US"/>
        </w:rPr>
        <w:t>eek 4</w:t>
      </w:r>
      <w:r>
        <w:rPr>
          <w:rFonts w:cs="Times New Roman"/>
          <w:lang w:val="en-US"/>
        </w:rPr>
        <w:t xml:space="preserve"> </w:t>
      </w:r>
      <w:r w:rsidR="005B70D2">
        <w:rPr>
          <w:rFonts w:cs="Times New Roman"/>
          <w:lang w:val="en-US"/>
        </w:rPr>
        <w:t>for</w:t>
      </w:r>
      <w:r>
        <w:rPr>
          <w:rFonts w:cs="Times New Roman"/>
          <w:lang w:val="en-US"/>
        </w:rPr>
        <w:t xml:space="preserve"> </w:t>
      </w:r>
      <w:r w:rsidR="009468D2">
        <w:rPr>
          <w:rFonts w:cs="Times New Roman"/>
          <w:lang w:val="en-US"/>
        </w:rPr>
        <w:t xml:space="preserve">all patients in the </w:t>
      </w:r>
      <w:r>
        <w:rPr>
          <w:rFonts w:cs="Times New Roman"/>
          <w:lang w:val="en-US"/>
        </w:rPr>
        <w:t>MIYABI HD-C</w:t>
      </w:r>
      <w:r w:rsidR="009468D2">
        <w:rPr>
          <w:rFonts w:cs="Times New Roman"/>
          <w:lang w:val="en-US"/>
        </w:rPr>
        <w:t xml:space="preserve"> trial* and </w:t>
      </w:r>
      <w:r w:rsidR="005B70D2">
        <w:rPr>
          <w:rFonts w:cs="Times New Roman"/>
          <w:lang w:val="en-US"/>
        </w:rPr>
        <w:t>for</w:t>
      </w:r>
      <w:r w:rsidR="009468D2">
        <w:rPr>
          <w:rFonts w:cs="Times New Roman"/>
          <w:lang w:val="en-US"/>
        </w:rPr>
        <w:t xml:space="preserve"> </w:t>
      </w:r>
      <w:r w:rsidR="005B70D2">
        <w:rPr>
          <w:rFonts w:cs="Times New Roman"/>
          <w:lang w:val="en-US"/>
        </w:rPr>
        <w:t xml:space="preserve">patients </w:t>
      </w:r>
      <w:r w:rsidR="009468D2">
        <w:rPr>
          <w:rFonts w:cs="Times New Roman"/>
          <w:lang w:val="en-US"/>
        </w:rPr>
        <w:t xml:space="preserve">not treated with ESA at </w:t>
      </w:r>
      <w:r w:rsidR="00491923">
        <w:rPr>
          <w:rFonts w:cs="Times New Roman" w:hint="eastAsia"/>
          <w:lang w:val="en-US" w:eastAsia="ja-JP"/>
        </w:rPr>
        <w:t xml:space="preserve">study drug assignment </w:t>
      </w:r>
      <w:r w:rsidR="009468D2">
        <w:rPr>
          <w:rFonts w:cs="Times New Roman"/>
          <w:lang w:val="en-US"/>
        </w:rPr>
        <w:t xml:space="preserve">in the </w:t>
      </w:r>
      <w:r w:rsidR="009468D2" w:rsidRPr="009468D2">
        <w:rPr>
          <w:rFonts w:cs="Times New Roman"/>
          <w:lang w:val="en-US"/>
        </w:rPr>
        <w:t>MIYABI PD trial</w:t>
      </w:r>
    </w:p>
    <w:tbl>
      <w:tblPr>
        <w:tblStyle w:val="TableGrid"/>
        <w:tblW w:w="1395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3491"/>
        <w:gridCol w:w="3390"/>
        <w:gridCol w:w="3580"/>
      </w:tblGrid>
      <w:tr w:rsidR="00BD7177" w14:paraId="722D9DAF" w14:textId="77777777" w:rsidTr="00BD7177">
        <w:tc>
          <w:tcPr>
            <w:tcW w:w="3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D757" w14:textId="21E951D1" w:rsidR="00BD7177" w:rsidRDefault="00BD7177" w:rsidP="00BD7177">
            <w:pPr>
              <w:spacing w:line="360" w:lineRule="auto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Rise in Hb in the first 4 weeks (g/L)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E8CD" w14:textId="0EF473D4" w:rsidR="00BD7177" w:rsidRDefault="00BD7177" w:rsidP="00BD7177">
            <w:pPr>
              <w:spacing w:line="360" w:lineRule="auto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Hb level (g/L) </w:t>
            </w:r>
          </w:p>
          <w:p w14:paraId="5BDDCE44" w14:textId="33A5C308" w:rsidR="00BD7177" w:rsidRDefault="00BD7177" w:rsidP="00BD7177">
            <w:pPr>
              <w:spacing w:line="360" w:lineRule="auto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in MIYABI HD-C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FEE7" w14:textId="530C48A2" w:rsidR="00BD7177" w:rsidRDefault="00BD7177" w:rsidP="00BD7177">
            <w:pPr>
              <w:spacing w:line="360" w:lineRule="auto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Hb level (g/L) </w:t>
            </w:r>
          </w:p>
          <w:p w14:paraId="6D70E795" w14:textId="14B8BD77" w:rsidR="00BD7177" w:rsidRDefault="00BD7177" w:rsidP="00BD7177">
            <w:pPr>
              <w:spacing w:line="360" w:lineRule="auto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in MIYABI PD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EE03E" w14:textId="60ADF0C1" w:rsidR="00BD7177" w:rsidRDefault="00BD7177" w:rsidP="00BD7177">
            <w:pPr>
              <w:spacing w:line="360" w:lineRule="auto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Titration step</w:t>
            </w:r>
          </w:p>
        </w:tc>
      </w:tr>
      <w:tr w:rsidR="00BD7177" w14:paraId="5A3B2458" w14:textId="77777777" w:rsidTr="00BD7177">
        <w:tc>
          <w:tcPr>
            <w:tcW w:w="34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0749BE" w14:textId="194B46AC" w:rsidR="00BD7177" w:rsidRPr="001104C2" w:rsidRDefault="00BD7177" w:rsidP="00BD7177">
            <w:pPr>
              <w:spacing w:line="36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&lt;5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F1F0" w14:textId="77E2E376" w:rsidR="00BD7177" w:rsidRPr="001104C2" w:rsidRDefault="00BD7177" w:rsidP="00BD7177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&lt;95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B2EB" w14:textId="563D21CC" w:rsidR="00BD7177" w:rsidRDefault="00BD7177" w:rsidP="00BD7177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&lt;105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25DF3" w14:textId="33F3C58E" w:rsidR="00BD7177" w:rsidRPr="001104C2" w:rsidRDefault="00BD7177" w:rsidP="00BD7177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Increase to the next higher dose</w:t>
            </w:r>
          </w:p>
        </w:tc>
      </w:tr>
      <w:tr w:rsidR="00BD7177" w14:paraId="19A232C9" w14:textId="77777777" w:rsidTr="00BD7177">
        <w:tc>
          <w:tcPr>
            <w:tcW w:w="34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EE218E" w14:textId="77777777" w:rsidR="00BD7177" w:rsidRPr="001104C2" w:rsidRDefault="00BD7177" w:rsidP="00BD7177">
            <w:pPr>
              <w:spacing w:line="360" w:lineRule="auto"/>
              <w:rPr>
                <w:rFonts w:cs="Times New Roman"/>
                <w:lang w:val="en-US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968" w14:textId="024679BD" w:rsidR="00BD7177" w:rsidRPr="001104C2" w:rsidRDefault="00BD7177" w:rsidP="00BD7177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theme="minorHAnsi"/>
                <w:lang w:val="en-US"/>
              </w:rPr>
              <w:t>≥</w:t>
            </w:r>
            <w:r>
              <w:rPr>
                <w:rFonts w:cs="Times New Roman"/>
                <w:lang w:val="en-US"/>
              </w:rPr>
              <w:t>95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281F" w14:textId="64B8E6FA" w:rsidR="00BD7177" w:rsidRPr="001104C2" w:rsidRDefault="00BD7177" w:rsidP="00BD7177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theme="minorHAnsi"/>
                <w:lang w:val="en-US"/>
              </w:rPr>
              <w:t>≥</w:t>
            </w:r>
            <w:r>
              <w:rPr>
                <w:rFonts w:cs="Times New Roman"/>
                <w:lang w:val="en-US"/>
              </w:rPr>
              <w:t>105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FD75EF" w14:textId="4542B124" w:rsidR="00BD7177" w:rsidRPr="001104C2" w:rsidRDefault="00BD7177" w:rsidP="00BD7177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BD7177" w:rsidRPr="001104C2" w14:paraId="710547AC" w14:textId="77777777" w:rsidTr="00BD7177">
        <w:tc>
          <w:tcPr>
            <w:tcW w:w="3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AEB1" w14:textId="2A9A64C5" w:rsidR="00BD7177" w:rsidRPr="001104C2" w:rsidRDefault="00BD7177" w:rsidP="00BD7177">
            <w:pPr>
              <w:spacing w:line="360" w:lineRule="auto"/>
              <w:rPr>
                <w:rFonts w:cs="Times New Roman"/>
                <w:lang w:val="en-US"/>
              </w:rPr>
            </w:pPr>
            <w:r>
              <w:rPr>
                <w:rFonts w:cstheme="minorHAnsi"/>
                <w:lang w:val="en-US"/>
              </w:rPr>
              <w:t>≥</w:t>
            </w:r>
            <w:r>
              <w:rPr>
                <w:rFonts w:cs="Times New Roman"/>
                <w:lang w:val="en-US"/>
              </w:rPr>
              <w:t>5 and &lt;10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BAC8" w14:textId="4786751D" w:rsidR="00BD7177" w:rsidRPr="001104C2" w:rsidRDefault="00BD7177" w:rsidP="00BD7177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Any value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3CFF" w14:textId="6189AB0D" w:rsidR="00BD7177" w:rsidRDefault="00BD7177" w:rsidP="00BD7177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Any value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nil"/>
            </w:tcBorders>
          </w:tcPr>
          <w:p w14:paraId="0B485583" w14:textId="525F2FEE" w:rsidR="00BD7177" w:rsidRPr="001104C2" w:rsidRDefault="00BD7177" w:rsidP="00BD7177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Maintain the same dose</w:t>
            </w:r>
          </w:p>
        </w:tc>
      </w:tr>
      <w:tr w:rsidR="00BD7177" w:rsidRPr="001104C2" w14:paraId="4BB05BF0" w14:textId="77777777" w:rsidTr="00BD7177">
        <w:tc>
          <w:tcPr>
            <w:tcW w:w="34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E3A3DA" w14:textId="4DB31972" w:rsidR="00BD7177" w:rsidRPr="001104C2" w:rsidRDefault="00BD7177" w:rsidP="00BD7177">
            <w:pPr>
              <w:spacing w:line="360" w:lineRule="auto"/>
              <w:rPr>
                <w:rFonts w:cs="Times New Roman"/>
                <w:lang w:val="en-US"/>
              </w:rPr>
            </w:pPr>
            <w:r>
              <w:rPr>
                <w:rFonts w:cstheme="minorHAnsi"/>
                <w:lang w:val="en-US"/>
              </w:rPr>
              <w:t>≥</w:t>
            </w:r>
            <w:r>
              <w:rPr>
                <w:rFonts w:cs="Times New Roman"/>
                <w:lang w:val="en-US"/>
              </w:rPr>
              <w:t xml:space="preserve">10 and </w:t>
            </w:r>
            <w:r>
              <w:rPr>
                <w:rFonts w:cstheme="minorHAnsi"/>
                <w:lang w:val="en-US"/>
              </w:rPr>
              <w:t>≤</w:t>
            </w:r>
            <w:r>
              <w:rPr>
                <w:rFonts w:cs="Times New Roman"/>
                <w:lang w:val="en-US"/>
              </w:rPr>
              <w:t>20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B73E" w14:textId="6AE408D3" w:rsidR="00BD7177" w:rsidRPr="001104C2" w:rsidRDefault="00BD7177" w:rsidP="00BD7177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theme="minorHAnsi"/>
                <w:lang w:val="en-US"/>
              </w:rPr>
              <w:t>≤</w:t>
            </w:r>
            <w:r>
              <w:rPr>
                <w:rFonts w:cs="Times New Roman"/>
                <w:lang w:val="en-US"/>
              </w:rPr>
              <w:t>100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94E" w14:textId="49336908" w:rsidR="00BD7177" w:rsidRPr="001104C2" w:rsidRDefault="00BD7177" w:rsidP="00BD7177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theme="minorHAnsi"/>
                <w:lang w:val="en-US"/>
              </w:rPr>
              <w:t>≤</w:t>
            </w:r>
            <w:r>
              <w:rPr>
                <w:rFonts w:cs="Times New Roman"/>
                <w:lang w:val="en-US"/>
              </w:rPr>
              <w:t>110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AF7F38" w14:textId="35DB72D2" w:rsidR="00BD7177" w:rsidRPr="001104C2" w:rsidRDefault="00BD7177" w:rsidP="00BD7177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BD7177" w:rsidRPr="001104C2" w14:paraId="2AE7B523" w14:textId="77777777" w:rsidTr="00BD7177">
        <w:tc>
          <w:tcPr>
            <w:tcW w:w="34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002611" w14:textId="77777777" w:rsidR="00BD7177" w:rsidRPr="001104C2" w:rsidRDefault="00BD7177" w:rsidP="00BD7177">
            <w:pPr>
              <w:spacing w:line="360" w:lineRule="auto"/>
              <w:rPr>
                <w:rFonts w:cs="Times New Roman"/>
                <w:lang w:val="en-US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2B06" w14:textId="545144C7" w:rsidR="00BD7177" w:rsidRPr="001104C2" w:rsidRDefault="00BD7177" w:rsidP="00BD7177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&gt;100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A23A" w14:textId="4CC85D36" w:rsidR="00BD7177" w:rsidRDefault="00BD7177" w:rsidP="00BD7177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&gt;110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C40DD26" w14:textId="6A242045" w:rsidR="00BD7177" w:rsidRDefault="00BD7177" w:rsidP="00BD7177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</w:p>
          <w:p w14:paraId="159C5EA6" w14:textId="45191F71" w:rsidR="00BD7177" w:rsidRPr="001104C2" w:rsidRDefault="00BD7177" w:rsidP="00BD7177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Decrease to the next lower dose</w:t>
            </w:r>
          </w:p>
        </w:tc>
      </w:tr>
      <w:tr w:rsidR="00BD7177" w14:paraId="7D3B468A" w14:textId="77777777" w:rsidTr="00BD7177">
        <w:tc>
          <w:tcPr>
            <w:tcW w:w="34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82FE24" w14:textId="3DACAF11" w:rsidR="00BD7177" w:rsidRPr="001104C2" w:rsidRDefault="00BD7177" w:rsidP="00BD7177">
            <w:pPr>
              <w:spacing w:line="36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&gt;20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A2F8" w14:textId="6DB4D697" w:rsidR="00BD7177" w:rsidRPr="001104C2" w:rsidRDefault="00BD7177" w:rsidP="00BD7177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Any value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A578" w14:textId="27B9BAE0" w:rsidR="00BD7177" w:rsidRPr="001104C2" w:rsidRDefault="00BD7177" w:rsidP="00BD7177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Any value</w:t>
            </w: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6E4A92F" w14:textId="46E6F860" w:rsidR="00BD7177" w:rsidRPr="001104C2" w:rsidRDefault="00BD7177" w:rsidP="00BD7177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</w:p>
        </w:tc>
      </w:tr>
    </w:tbl>
    <w:p w14:paraId="399D2F17" w14:textId="7BD4C3CB" w:rsidR="007422C3" w:rsidRPr="004966D8" w:rsidRDefault="007422C3" w:rsidP="007422C3">
      <w:pPr>
        <w:spacing w:line="276" w:lineRule="auto"/>
        <w:rPr>
          <w:rFonts w:cs="Times New Roman"/>
        </w:rPr>
      </w:pPr>
      <w:r>
        <w:rPr>
          <w:rFonts w:cs="Times New Roman"/>
        </w:rPr>
        <w:t>*All patients in MIYABI HD-C</w:t>
      </w:r>
      <w:r w:rsidR="005B70D2">
        <w:rPr>
          <w:rFonts w:cs="Times New Roman"/>
        </w:rPr>
        <w:t xml:space="preserve"> will not be</w:t>
      </w:r>
      <w:r>
        <w:rPr>
          <w:rFonts w:cs="Times New Roman"/>
        </w:rPr>
        <w:t xml:space="preserve"> treated with ESAs</w:t>
      </w:r>
      <w:r w:rsidR="005B70D2">
        <w:rPr>
          <w:rFonts w:cs="Times New Roman"/>
        </w:rPr>
        <w:t xml:space="preserve"> at </w:t>
      </w:r>
      <w:r w:rsidR="00491923">
        <w:rPr>
          <w:rFonts w:cs="Times New Roman" w:hint="eastAsia"/>
          <w:lang w:val="en-US" w:eastAsia="ja-JP"/>
        </w:rPr>
        <w:t xml:space="preserve">study drug assignment </w:t>
      </w:r>
      <w:r w:rsidR="005B70D2">
        <w:rPr>
          <w:rFonts w:cs="Times New Roman"/>
        </w:rPr>
        <w:t>or during the trial</w:t>
      </w:r>
      <w:r w:rsidR="009468D2">
        <w:rPr>
          <w:rFonts w:cs="Times New Roman"/>
        </w:rPr>
        <w:t>.</w:t>
      </w:r>
    </w:p>
    <w:p w14:paraId="1D075E26" w14:textId="459FF822" w:rsidR="00B00D70" w:rsidRDefault="002C175D" w:rsidP="00B00D70">
      <w:pPr>
        <w:spacing w:line="276" w:lineRule="auto"/>
        <w:rPr>
          <w:rFonts w:cs="Times New Roman"/>
        </w:rPr>
      </w:pPr>
      <w:r w:rsidRPr="002C175D">
        <w:rPr>
          <w:rFonts w:cs="Times New Roman"/>
        </w:rPr>
        <w:t>ES</w:t>
      </w:r>
      <w:r w:rsidRPr="00460DBF">
        <w:rPr>
          <w:rFonts w:cs="Times New Roman"/>
        </w:rPr>
        <w:t xml:space="preserve">A, </w:t>
      </w:r>
      <w:r w:rsidRPr="00782C16">
        <w:rPr>
          <w:rFonts w:cs="Times New Roman"/>
        </w:rPr>
        <w:t>erythropoiesis-stimulating agent;</w:t>
      </w:r>
      <w:r w:rsidRPr="000C1FDE">
        <w:rPr>
          <w:rFonts w:cs="Times New Roman"/>
          <w:sz w:val="24"/>
          <w:szCs w:val="24"/>
        </w:rPr>
        <w:t xml:space="preserve"> </w:t>
      </w:r>
      <w:r w:rsidR="00B00D70" w:rsidRPr="004966D8">
        <w:rPr>
          <w:rFonts w:cs="Times New Roman"/>
          <w:szCs w:val="24"/>
        </w:rPr>
        <w:t>Hb, haemoglobin</w:t>
      </w:r>
      <w:r w:rsidR="00B00D70">
        <w:rPr>
          <w:rFonts w:cs="Times New Roman"/>
        </w:rPr>
        <w:t xml:space="preserve">. </w:t>
      </w:r>
    </w:p>
    <w:p w14:paraId="54CD316F" w14:textId="77777777" w:rsidR="00B00D70" w:rsidRDefault="00B00D70">
      <w:pP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br w:type="page"/>
      </w:r>
    </w:p>
    <w:p w14:paraId="20674B5E" w14:textId="5FC5C380" w:rsidR="00B00D70" w:rsidRDefault="00B00D70" w:rsidP="00B00D70">
      <w:pPr>
        <w:spacing w:line="360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Supplementary </w:t>
      </w:r>
      <w:r w:rsidR="009C6EE8">
        <w:rPr>
          <w:rFonts w:cs="Times New Roman"/>
          <w:b/>
          <w:lang w:val="en-US"/>
        </w:rPr>
        <w:t>t</w:t>
      </w:r>
      <w:r w:rsidRPr="00982122">
        <w:rPr>
          <w:rFonts w:cs="Times New Roman"/>
          <w:b/>
          <w:lang w:val="en-US"/>
        </w:rPr>
        <w:t xml:space="preserve">able </w:t>
      </w:r>
      <w:r w:rsidR="00DF1A87">
        <w:rPr>
          <w:rFonts w:cs="Times New Roman"/>
          <w:b/>
          <w:lang w:val="en-US"/>
        </w:rPr>
        <w:t xml:space="preserve">3 </w:t>
      </w:r>
      <w:r w:rsidR="000700E0" w:rsidRPr="00DE4B43">
        <w:rPr>
          <w:rFonts w:cs="Times New Roman"/>
          <w:lang w:val="en-US"/>
        </w:rPr>
        <w:t xml:space="preserve">Dose </w:t>
      </w:r>
      <w:r w:rsidR="000700E0">
        <w:rPr>
          <w:rFonts w:cs="Times New Roman"/>
          <w:lang w:val="en-US"/>
        </w:rPr>
        <w:t>titration</w:t>
      </w:r>
      <w:r w:rsidR="000700E0" w:rsidRPr="00DE4B43">
        <w:rPr>
          <w:rFonts w:cs="Times New Roman"/>
          <w:lang w:val="en-US"/>
        </w:rPr>
        <w:t xml:space="preserve"> </w:t>
      </w:r>
      <w:r w:rsidR="000700E0">
        <w:rPr>
          <w:rFonts w:cs="Times New Roman"/>
          <w:lang w:val="en-US"/>
        </w:rPr>
        <w:t>from</w:t>
      </w:r>
      <w:r w:rsidR="000700E0" w:rsidRPr="00DE4B43">
        <w:rPr>
          <w:rFonts w:cs="Times New Roman"/>
          <w:lang w:val="en-US"/>
        </w:rPr>
        <w:t xml:space="preserve"> </w:t>
      </w:r>
      <w:r w:rsidR="002C175D">
        <w:rPr>
          <w:rFonts w:cs="Times New Roman"/>
          <w:lang w:val="en-US"/>
        </w:rPr>
        <w:t>w</w:t>
      </w:r>
      <w:r w:rsidR="002C175D" w:rsidRPr="00DE4B43">
        <w:rPr>
          <w:rFonts w:cs="Times New Roman"/>
          <w:lang w:val="en-US"/>
        </w:rPr>
        <w:t xml:space="preserve">eek </w:t>
      </w:r>
      <w:r w:rsidR="000700E0">
        <w:rPr>
          <w:rFonts w:cs="Times New Roman"/>
          <w:lang w:val="en-US"/>
        </w:rPr>
        <w:t>8 in MIYABI HD-C</w:t>
      </w:r>
      <w:r w:rsidR="003A436F">
        <w:rPr>
          <w:rFonts w:cs="Times New Roman"/>
          <w:lang w:val="en-US"/>
        </w:rPr>
        <w:t>,</w:t>
      </w:r>
      <w:r w:rsidR="002A1DA3">
        <w:rPr>
          <w:rFonts w:cs="Times New Roman"/>
          <w:lang w:val="en-US"/>
        </w:rPr>
        <w:t xml:space="preserve"> from </w:t>
      </w:r>
      <w:r w:rsidR="002C175D">
        <w:rPr>
          <w:rFonts w:cs="Times New Roman"/>
          <w:lang w:val="en-US"/>
        </w:rPr>
        <w:t xml:space="preserve">week </w:t>
      </w:r>
      <w:r w:rsidR="002A1DA3">
        <w:rPr>
          <w:rFonts w:cs="Times New Roman"/>
          <w:lang w:val="en-US"/>
        </w:rPr>
        <w:t>4 or 8 in</w:t>
      </w:r>
      <w:r w:rsidR="003A436F">
        <w:rPr>
          <w:rFonts w:cs="Times New Roman"/>
          <w:lang w:val="en-US"/>
        </w:rPr>
        <w:t xml:space="preserve"> </w:t>
      </w:r>
      <w:r w:rsidR="000700E0" w:rsidRPr="009468D2">
        <w:rPr>
          <w:rFonts w:cs="Times New Roman"/>
          <w:lang w:val="en-US"/>
        </w:rPr>
        <w:t>MIYABI PD</w:t>
      </w:r>
      <w:r w:rsidR="00FB411B">
        <w:rPr>
          <w:rFonts w:cstheme="minorHAnsi"/>
          <w:lang w:val="en-US"/>
        </w:rPr>
        <w:t>*</w:t>
      </w:r>
      <w:r w:rsidR="003A436F">
        <w:rPr>
          <w:rFonts w:cstheme="minorHAnsi"/>
          <w:lang w:val="en-US"/>
        </w:rPr>
        <w:t xml:space="preserve">, and from </w:t>
      </w:r>
      <w:r w:rsidR="002C175D">
        <w:rPr>
          <w:rFonts w:cstheme="minorHAnsi"/>
          <w:lang w:val="en-US"/>
        </w:rPr>
        <w:t xml:space="preserve">week </w:t>
      </w:r>
      <w:r w:rsidR="003E3C39">
        <w:rPr>
          <w:rFonts w:cstheme="minorHAnsi"/>
          <w:lang w:val="en-US"/>
        </w:rPr>
        <w:t>2 or 4 in MIYABI HD-M</w:t>
      </w:r>
      <w:r w:rsidR="00FB411B">
        <w:rPr>
          <w:rFonts w:cstheme="minorHAnsi"/>
          <w:lang w:val="en-US"/>
        </w:rPr>
        <w:t>†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  <w:gridCol w:w="4536"/>
      </w:tblGrid>
      <w:tr w:rsidR="000700E0" w14:paraId="7A518F50" w14:textId="77777777" w:rsidTr="00043FD6"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6F2B" w14:textId="24C4FFD6" w:rsidR="00964E84" w:rsidRDefault="000700E0" w:rsidP="00964E84">
            <w:pPr>
              <w:spacing w:line="360" w:lineRule="auto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Hb level (g/L)</w:t>
            </w:r>
            <w:r w:rsidR="00964E84">
              <w:rPr>
                <w:rFonts w:cs="Times New Roman"/>
                <w:b/>
                <w:lang w:val="en-US"/>
              </w:rPr>
              <w:t xml:space="preserve"> </w:t>
            </w:r>
          </w:p>
          <w:p w14:paraId="35C32373" w14:textId="4F07BE36" w:rsidR="000700E0" w:rsidRDefault="00964E84" w:rsidP="00964E84">
            <w:pPr>
              <w:spacing w:line="360" w:lineRule="auto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in MIYABI HD-C</w:t>
            </w:r>
            <w:r w:rsidR="003E3C39">
              <w:rPr>
                <w:rFonts w:cs="Times New Roman"/>
                <w:b/>
                <w:lang w:val="en-US"/>
              </w:rPr>
              <w:t xml:space="preserve"> and MIYABI HD-M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DEC8" w14:textId="3497745B" w:rsidR="00964E84" w:rsidRDefault="00964E84" w:rsidP="00964E84">
            <w:pPr>
              <w:spacing w:line="360" w:lineRule="auto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Hb level (g/L) </w:t>
            </w:r>
          </w:p>
          <w:p w14:paraId="1CF55759" w14:textId="3970A739" w:rsidR="000700E0" w:rsidRDefault="00964E84" w:rsidP="00964E84">
            <w:pPr>
              <w:spacing w:line="360" w:lineRule="auto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in MIYABI PD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C875B" w14:textId="356C75F0" w:rsidR="000700E0" w:rsidRDefault="000700E0" w:rsidP="00B00D70">
            <w:pPr>
              <w:spacing w:line="360" w:lineRule="auto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Titration step</w:t>
            </w:r>
          </w:p>
        </w:tc>
      </w:tr>
      <w:tr w:rsidR="00223F76" w14:paraId="48CB7EE4" w14:textId="77777777" w:rsidTr="00043FD6"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E76D" w14:textId="3157A911" w:rsidR="00223F76" w:rsidRPr="001104C2" w:rsidRDefault="00223F76" w:rsidP="00223F7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&lt;100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7D9C" w14:textId="0AFDBB22" w:rsidR="00223F76" w:rsidRDefault="00223F76" w:rsidP="00223F7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&lt;1</w:t>
            </w:r>
            <w:r w:rsidR="00445280"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  <w:lang w:val="en-US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87709" w14:textId="0B24BF09" w:rsidR="00223F76" w:rsidRPr="001104C2" w:rsidRDefault="00223F76" w:rsidP="00223F7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Increase to the next higher dose</w:t>
            </w:r>
          </w:p>
        </w:tc>
      </w:tr>
      <w:tr w:rsidR="00223F76" w:rsidRPr="001104C2" w14:paraId="12C4264C" w14:textId="77777777" w:rsidTr="00043FD6"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5C6B" w14:textId="0FA73632" w:rsidR="00223F76" w:rsidRPr="001104C2" w:rsidRDefault="00223F76" w:rsidP="00223F7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theme="minorHAnsi"/>
                <w:lang w:val="en-US"/>
              </w:rPr>
              <w:t>≥</w:t>
            </w:r>
            <w:r>
              <w:rPr>
                <w:rFonts w:cs="Times New Roman"/>
                <w:lang w:val="en-US"/>
              </w:rPr>
              <w:t xml:space="preserve">100 and </w:t>
            </w:r>
            <w:r>
              <w:rPr>
                <w:rFonts w:cstheme="minorHAnsi"/>
                <w:lang w:val="en-US"/>
              </w:rPr>
              <w:t>&lt;1</w:t>
            </w:r>
            <w:r>
              <w:rPr>
                <w:rFonts w:cs="Times New Roman"/>
                <w:lang w:val="en-US"/>
              </w:rPr>
              <w:t>20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D29D" w14:textId="7B834EBC" w:rsidR="00223F76" w:rsidRDefault="00223F76" w:rsidP="00223F76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≥</w:t>
            </w:r>
            <w:r>
              <w:rPr>
                <w:rFonts w:cs="Times New Roman"/>
                <w:lang w:val="en-US"/>
              </w:rPr>
              <w:t>1</w:t>
            </w:r>
            <w:r w:rsidR="00445280"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  <w:lang w:val="en-US"/>
              </w:rPr>
              <w:t xml:space="preserve">0 and </w:t>
            </w:r>
            <w:r>
              <w:rPr>
                <w:rFonts w:cstheme="minorHAnsi"/>
                <w:lang w:val="en-US"/>
              </w:rPr>
              <w:t>&lt;1</w:t>
            </w:r>
            <w:r>
              <w:rPr>
                <w:rFonts w:cs="Times New Roman"/>
                <w:lang w:val="en-US"/>
              </w:rPr>
              <w:t>2</w:t>
            </w:r>
            <w:r w:rsidR="00445280">
              <w:rPr>
                <w:rFonts w:cs="Times New Roman"/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84036" w14:textId="68FC8C22" w:rsidR="00223F76" w:rsidRPr="001104C2" w:rsidRDefault="00223F76" w:rsidP="00223F7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theme="minorHAnsi"/>
                <w:lang w:val="en-US"/>
              </w:rPr>
              <w:t>Maintain the same dose</w:t>
            </w:r>
          </w:p>
        </w:tc>
      </w:tr>
      <w:tr w:rsidR="00223F76" w:rsidRPr="001104C2" w14:paraId="79D371D5" w14:textId="77777777" w:rsidTr="00043FD6">
        <w:tc>
          <w:tcPr>
            <w:tcW w:w="375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83705F" w14:textId="2F73FB0B" w:rsidR="00223F76" w:rsidRPr="001104C2" w:rsidRDefault="00223F76" w:rsidP="00223F7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theme="minorHAnsi"/>
                <w:lang w:val="en-US"/>
              </w:rPr>
              <w:t>≥</w:t>
            </w:r>
            <w:r>
              <w:rPr>
                <w:rFonts w:cs="Times New Roman"/>
                <w:lang w:val="en-US"/>
              </w:rPr>
              <w:t xml:space="preserve">120 and </w:t>
            </w:r>
            <w:r>
              <w:rPr>
                <w:rFonts w:cstheme="minorHAnsi"/>
                <w:lang w:val="en-US"/>
              </w:rPr>
              <w:t>&lt;1</w:t>
            </w:r>
            <w:r>
              <w:rPr>
                <w:rFonts w:cs="Times New Roman"/>
                <w:lang w:val="en-US"/>
              </w:rPr>
              <w:t>30</w:t>
            </w:r>
          </w:p>
        </w:tc>
        <w:tc>
          <w:tcPr>
            <w:tcW w:w="37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D205E6" w14:textId="3AF83874" w:rsidR="00223F76" w:rsidRDefault="00223F76" w:rsidP="00223F7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theme="minorHAnsi"/>
                <w:lang w:val="en-US"/>
              </w:rPr>
              <w:t>≥</w:t>
            </w:r>
            <w:r>
              <w:rPr>
                <w:rFonts w:cs="Times New Roman"/>
                <w:lang w:val="en-US"/>
              </w:rPr>
              <w:t>12</w:t>
            </w:r>
            <w:r w:rsidR="00445280"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  <w:lang w:val="en-US"/>
              </w:rPr>
              <w:t xml:space="preserve"> and </w:t>
            </w:r>
            <w:r>
              <w:rPr>
                <w:rFonts w:cstheme="minorHAnsi"/>
                <w:lang w:val="en-US"/>
              </w:rPr>
              <w:t>&lt;1</w:t>
            </w:r>
            <w:r>
              <w:rPr>
                <w:rFonts w:cs="Times New Roman"/>
                <w:lang w:val="en-US"/>
              </w:rPr>
              <w:t>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D5315C" w14:textId="70D497D7" w:rsidR="00223F76" w:rsidRPr="001104C2" w:rsidRDefault="00223F76" w:rsidP="00223F7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Decrease to the next dose</w:t>
            </w:r>
          </w:p>
        </w:tc>
      </w:tr>
      <w:tr w:rsidR="00223F76" w14:paraId="3D48D723" w14:textId="77777777" w:rsidTr="00043FD6">
        <w:tc>
          <w:tcPr>
            <w:tcW w:w="375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E015A9" w14:textId="5F9A8B23" w:rsidR="00223F76" w:rsidRPr="001104C2" w:rsidRDefault="00223F76" w:rsidP="00223F7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theme="minorHAnsi"/>
                <w:lang w:val="en-US"/>
              </w:rPr>
              <w:t>≥</w:t>
            </w:r>
            <w:r>
              <w:rPr>
                <w:rFonts w:cs="Times New Roman"/>
                <w:lang w:val="en-US"/>
              </w:rPr>
              <w:t>130</w:t>
            </w:r>
          </w:p>
        </w:tc>
        <w:tc>
          <w:tcPr>
            <w:tcW w:w="37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BBFE79" w14:textId="46D8A51E" w:rsidR="00223F76" w:rsidRDefault="00223F76" w:rsidP="00223F7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theme="minorHAnsi"/>
                <w:lang w:val="en-US"/>
              </w:rPr>
              <w:t>≥</w:t>
            </w:r>
            <w:r>
              <w:rPr>
                <w:rFonts w:cs="Times New Roman"/>
                <w:lang w:val="en-US"/>
              </w:rPr>
              <w:t>130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3C3E583" w14:textId="62390685" w:rsidR="00223F76" w:rsidRPr="001104C2" w:rsidRDefault="00223F76" w:rsidP="00223F7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Suspend a dose until the next scheduled visit</w:t>
            </w:r>
          </w:p>
        </w:tc>
      </w:tr>
    </w:tbl>
    <w:p w14:paraId="3E55AC2B" w14:textId="71A2B0B2" w:rsidR="000700E0" w:rsidRPr="00FB411B" w:rsidRDefault="005B70D2" w:rsidP="000700E0">
      <w:pPr>
        <w:spacing w:line="276" w:lineRule="auto"/>
        <w:rPr>
          <w:rFonts w:cs="Times New Roman"/>
          <w:lang w:val="en-US"/>
        </w:rPr>
      </w:pPr>
      <w:r>
        <w:rPr>
          <w:rFonts w:cs="Times New Roman"/>
        </w:rPr>
        <w:t>*</w:t>
      </w:r>
      <w:r w:rsidR="000700E0">
        <w:rPr>
          <w:rFonts w:cs="Times New Roman"/>
          <w:lang w:val="en-US"/>
        </w:rPr>
        <w:t>In M</w:t>
      </w:r>
      <w:r w:rsidR="00964E84">
        <w:rPr>
          <w:rFonts w:cs="Times New Roman"/>
          <w:lang w:val="en-US"/>
        </w:rPr>
        <w:t xml:space="preserve">IYABI PD, patients </w:t>
      </w:r>
      <w:r w:rsidR="000700E0">
        <w:rPr>
          <w:rFonts w:cs="Times New Roman"/>
          <w:lang w:val="en-US"/>
        </w:rPr>
        <w:t>treated with ESA</w:t>
      </w:r>
      <w:r w:rsidR="00964E84">
        <w:rPr>
          <w:rFonts w:cs="Times New Roman"/>
          <w:lang w:val="en-US"/>
        </w:rPr>
        <w:t>s</w:t>
      </w:r>
      <w:r w:rsidR="000700E0">
        <w:rPr>
          <w:rFonts w:cs="Times New Roman"/>
          <w:lang w:val="en-US"/>
        </w:rPr>
        <w:t xml:space="preserve"> at </w:t>
      </w:r>
      <w:r w:rsidR="002E75D7">
        <w:rPr>
          <w:rFonts w:cs="Times New Roman"/>
          <w:lang w:val="en-US"/>
        </w:rPr>
        <w:t xml:space="preserve">study drug assignment </w:t>
      </w:r>
      <w:r w:rsidR="00717296">
        <w:rPr>
          <w:rFonts w:cs="Times New Roman"/>
          <w:lang w:val="en-US"/>
        </w:rPr>
        <w:t xml:space="preserve">will </w:t>
      </w:r>
      <w:r w:rsidR="00964E84">
        <w:rPr>
          <w:rFonts w:cs="Times New Roman"/>
          <w:lang w:val="en-US"/>
        </w:rPr>
        <w:t>start th</w:t>
      </w:r>
      <w:r w:rsidR="008A1D69">
        <w:rPr>
          <w:rFonts w:cs="Times New Roman"/>
          <w:lang w:val="en-US"/>
        </w:rPr>
        <w:t>is</w:t>
      </w:r>
      <w:r w:rsidR="00964E84">
        <w:rPr>
          <w:rFonts w:cs="Times New Roman"/>
          <w:lang w:val="en-US"/>
        </w:rPr>
        <w:t xml:space="preserve"> </w:t>
      </w:r>
      <w:r w:rsidR="002C175D">
        <w:rPr>
          <w:rFonts w:cs="Times New Roman"/>
          <w:lang w:val="en-US"/>
        </w:rPr>
        <w:t>dose-</w:t>
      </w:r>
      <w:r w:rsidR="00964E84">
        <w:rPr>
          <w:rFonts w:cs="Times New Roman"/>
          <w:lang w:val="en-US"/>
        </w:rPr>
        <w:t>titration schedule</w:t>
      </w:r>
      <w:r w:rsidR="0080111A">
        <w:rPr>
          <w:rFonts w:cs="Times New Roman"/>
          <w:lang w:val="en-US"/>
        </w:rPr>
        <w:t xml:space="preserve"> for molidustat</w:t>
      </w:r>
      <w:r w:rsidR="00964E84">
        <w:rPr>
          <w:rFonts w:cs="Times New Roman"/>
          <w:lang w:val="en-US"/>
        </w:rPr>
        <w:t xml:space="preserve"> at </w:t>
      </w:r>
      <w:r w:rsidR="009C6EE8">
        <w:rPr>
          <w:rFonts w:cs="Times New Roman"/>
          <w:lang w:val="en-US"/>
        </w:rPr>
        <w:t>w</w:t>
      </w:r>
      <w:r w:rsidR="00964E84">
        <w:rPr>
          <w:rFonts w:cs="Times New Roman"/>
          <w:lang w:val="en-US"/>
        </w:rPr>
        <w:t xml:space="preserve">eek 4, whereas </w:t>
      </w:r>
      <w:r>
        <w:rPr>
          <w:rFonts w:cs="Times New Roman"/>
          <w:lang w:val="en-US"/>
        </w:rPr>
        <w:t xml:space="preserve">patients not treated with ESAs at </w:t>
      </w:r>
      <w:r w:rsidR="002E75D7">
        <w:rPr>
          <w:rFonts w:cs="Times New Roman"/>
          <w:lang w:val="en-US"/>
        </w:rPr>
        <w:t xml:space="preserve">study drug assignment </w:t>
      </w:r>
      <w:r w:rsidR="00717296">
        <w:rPr>
          <w:rFonts w:cs="Times New Roman"/>
          <w:lang w:val="en-US"/>
        </w:rPr>
        <w:t xml:space="preserve">will </w:t>
      </w:r>
      <w:r>
        <w:rPr>
          <w:rFonts w:cs="Times New Roman"/>
          <w:lang w:val="en-US"/>
        </w:rPr>
        <w:t>start this dose titration schedule</w:t>
      </w:r>
      <w:r w:rsidR="0080111A">
        <w:rPr>
          <w:rFonts w:cs="Times New Roman"/>
          <w:lang w:val="en-US"/>
        </w:rPr>
        <w:t xml:space="preserve"> for molidustat</w:t>
      </w:r>
      <w:r>
        <w:rPr>
          <w:rFonts w:cs="Times New Roman"/>
          <w:lang w:val="en-US"/>
        </w:rPr>
        <w:t xml:space="preserve"> at </w:t>
      </w:r>
      <w:r w:rsidR="009C6EE8">
        <w:rPr>
          <w:rFonts w:cs="Times New Roman"/>
          <w:lang w:val="en-US"/>
        </w:rPr>
        <w:t>w</w:t>
      </w:r>
      <w:r>
        <w:rPr>
          <w:rFonts w:cs="Times New Roman"/>
          <w:lang w:val="en-US"/>
        </w:rPr>
        <w:t>eek 8.</w:t>
      </w:r>
    </w:p>
    <w:p w14:paraId="6B688815" w14:textId="27B50CDF" w:rsidR="00FB411B" w:rsidRPr="004966D8" w:rsidRDefault="00FB411B" w:rsidP="00FB411B">
      <w:pPr>
        <w:spacing w:line="276" w:lineRule="auto"/>
        <w:rPr>
          <w:rFonts w:cs="Times New Roman"/>
        </w:rPr>
      </w:pPr>
      <w:r>
        <w:rPr>
          <w:rFonts w:cstheme="minorHAnsi"/>
          <w:lang w:val="en-US"/>
        </w:rPr>
        <w:t>†</w:t>
      </w:r>
      <w:r>
        <w:rPr>
          <w:rFonts w:cs="Times New Roman"/>
          <w:lang w:val="en-US"/>
        </w:rPr>
        <w:t>In MIYABI HD-M, doses of darbepoetin alfa or darbepoetin alfa placebo w</w:t>
      </w:r>
      <w:r w:rsidR="00717296">
        <w:rPr>
          <w:rFonts w:cs="Times New Roman"/>
          <w:lang w:val="en-US"/>
        </w:rPr>
        <w:t>ill be</w:t>
      </w:r>
      <w:r>
        <w:rPr>
          <w:rFonts w:cs="Times New Roman"/>
          <w:lang w:val="en-US"/>
        </w:rPr>
        <w:t xml:space="preserve"> titrated from </w:t>
      </w:r>
      <w:r w:rsidR="009C6EE8">
        <w:rPr>
          <w:rFonts w:cs="Times New Roman"/>
          <w:lang w:val="en-US"/>
        </w:rPr>
        <w:t>w</w:t>
      </w:r>
      <w:r>
        <w:rPr>
          <w:rFonts w:cs="Times New Roman"/>
          <w:lang w:val="en-US"/>
        </w:rPr>
        <w:t>eek 2, whereas doses of molidustat w</w:t>
      </w:r>
      <w:r w:rsidR="00717296">
        <w:rPr>
          <w:rFonts w:cs="Times New Roman"/>
          <w:lang w:val="en-US"/>
        </w:rPr>
        <w:t>ill be</w:t>
      </w:r>
      <w:r>
        <w:rPr>
          <w:rFonts w:cs="Times New Roman"/>
          <w:lang w:val="en-US"/>
        </w:rPr>
        <w:t xml:space="preserve"> titrated from </w:t>
      </w:r>
      <w:r w:rsidR="009C6EE8">
        <w:rPr>
          <w:rFonts w:cs="Times New Roman"/>
          <w:lang w:val="en-US"/>
        </w:rPr>
        <w:t>w</w:t>
      </w:r>
      <w:r>
        <w:rPr>
          <w:rFonts w:cs="Times New Roman"/>
          <w:lang w:val="en-US"/>
        </w:rPr>
        <w:t>eek 4.</w:t>
      </w:r>
    </w:p>
    <w:p w14:paraId="2E723FFE" w14:textId="37678BB6" w:rsidR="00B00D70" w:rsidRPr="004966D8" w:rsidRDefault="002C175D" w:rsidP="00B00D70">
      <w:pPr>
        <w:spacing w:line="276" w:lineRule="auto"/>
        <w:rPr>
          <w:rFonts w:cs="Times New Roman"/>
        </w:rPr>
      </w:pPr>
      <w:r w:rsidRPr="002C175D">
        <w:rPr>
          <w:rFonts w:cs="Times New Roman"/>
        </w:rPr>
        <w:t>E</w:t>
      </w:r>
      <w:r w:rsidRPr="000C1FDE">
        <w:rPr>
          <w:rFonts w:cs="Times New Roman"/>
        </w:rPr>
        <w:t>SA, erythropoiesis-stimulating agent;</w:t>
      </w:r>
      <w:r w:rsidRPr="000C1FDE">
        <w:rPr>
          <w:rFonts w:cs="Times New Roman"/>
          <w:sz w:val="24"/>
          <w:szCs w:val="24"/>
        </w:rPr>
        <w:t xml:space="preserve"> </w:t>
      </w:r>
      <w:r w:rsidR="00B00D70" w:rsidRPr="004966D8">
        <w:rPr>
          <w:rFonts w:cs="Times New Roman"/>
          <w:szCs w:val="24"/>
        </w:rPr>
        <w:t>Hb, haemoglobin</w:t>
      </w:r>
      <w:r w:rsidR="00B00D70">
        <w:rPr>
          <w:rFonts w:cs="Times New Roman"/>
        </w:rPr>
        <w:t xml:space="preserve">. </w:t>
      </w:r>
    </w:p>
    <w:p w14:paraId="3F0FC600" w14:textId="1A51EB4B" w:rsidR="00004C41" w:rsidRPr="000F632C" w:rsidRDefault="00004C41" w:rsidP="000F632C">
      <w:pPr>
        <w:rPr>
          <w:rFonts w:cs="Times New Roman"/>
          <w:b/>
          <w:lang w:val="en-US"/>
        </w:rPr>
      </w:pPr>
    </w:p>
    <w:sectPr w:rsidR="00004C41" w:rsidRPr="000F632C" w:rsidSect="00DE4B43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DA019" w14:textId="77777777" w:rsidR="007F0D8B" w:rsidRDefault="007F0D8B" w:rsidP="001A6B4B">
      <w:pPr>
        <w:spacing w:after="0" w:line="240" w:lineRule="auto"/>
      </w:pPr>
      <w:r>
        <w:separator/>
      </w:r>
    </w:p>
  </w:endnote>
  <w:endnote w:type="continuationSeparator" w:id="0">
    <w:p w14:paraId="25B7F089" w14:textId="77777777" w:rsidR="007F0D8B" w:rsidRDefault="007F0D8B" w:rsidP="001A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756942"/>
      <w:docPartObj>
        <w:docPartGallery w:val="Page Numbers (Bottom of Page)"/>
        <w:docPartUnique/>
      </w:docPartObj>
    </w:sdtPr>
    <w:sdtEndPr/>
    <w:sdtContent>
      <w:sdt>
        <w:sdtPr>
          <w:id w:val="523217562"/>
          <w:docPartObj>
            <w:docPartGallery w:val="Page Numbers (Top of Page)"/>
            <w:docPartUnique/>
          </w:docPartObj>
        </w:sdtPr>
        <w:sdtEndPr/>
        <w:sdtContent>
          <w:p w14:paraId="6BE87FEC" w14:textId="5A4D1AFB" w:rsidR="008A2681" w:rsidRDefault="008A268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09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09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86F584" w14:textId="77777777" w:rsidR="008A2681" w:rsidRDefault="008A2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4F078" w14:textId="77777777" w:rsidR="007F0D8B" w:rsidRDefault="007F0D8B" w:rsidP="001A6B4B">
      <w:pPr>
        <w:spacing w:after="0" w:line="240" w:lineRule="auto"/>
      </w:pPr>
      <w:r>
        <w:separator/>
      </w:r>
    </w:p>
  </w:footnote>
  <w:footnote w:type="continuationSeparator" w:id="0">
    <w:p w14:paraId="67C98FA8" w14:textId="77777777" w:rsidR="007F0D8B" w:rsidRDefault="007F0D8B" w:rsidP="001A6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3813E" w14:textId="77777777" w:rsidR="00424FD1" w:rsidRDefault="00424FD1" w:rsidP="00CB5E9D">
    <w:pPr>
      <w:pStyle w:val="Header"/>
    </w:pPr>
  </w:p>
  <w:p w14:paraId="0D79E3F4" w14:textId="77777777" w:rsidR="008A2681" w:rsidRDefault="008A2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86B"/>
    <w:multiLevelType w:val="hybridMultilevel"/>
    <w:tmpl w:val="DF94E26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115FA"/>
    <w:multiLevelType w:val="hybridMultilevel"/>
    <w:tmpl w:val="8FF88496"/>
    <w:lvl w:ilvl="0" w:tplc="3C0AA23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2B32F81"/>
    <w:multiLevelType w:val="hybridMultilevel"/>
    <w:tmpl w:val="11728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B6213A"/>
    <w:multiLevelType w:val="hybridMultilevel"/>
    <w:tmpl w:val="0528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E43E4"/>
    <w:multiLevelType w:val="hybridMultilevel"/>
    <w:tmpl w:val="80222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B3689"/>
    <w:multiLevelType w:val="hybridMultilevel"/>
    <w:tmpl w:val="BF5E2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C3992"/>
    <w:multiLevelType w:val="hybridMultilevel"/>
    <w:tmpl w:val="8F1EF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66516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76520F"/>
    <w:multiLevelType w:val="hybridMultilevel"/>
    <w:tmpl w:val="A0E875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D4151C"/>
    <w:multiLevelType w:val="hybridMultilevel"/>
    <w:tmpl w:val="411EA248"/>
    <w:lvl w:ilvl="0" w:tplc="DCECE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736EA"/>
    <w:multiLevelType w:val="hybridMultilevel"/>
    <w:tmpl w:val="DB866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7320E"/>
    <w:multiLevelType w:val="hybridMultilevel"/>
    <w:tmpl w:val="F9B8C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464D8"/>
    <w:multiLevelType w:val="hybridMultilevel"/>
    <w:tmpl w:val="ECD2C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D7CA3"/>
    <w:multiLevelType w:val="hybridMultilevel"/>
    <w:tmpl w:val="7C9E4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911C2"/>
    <w:multiLevelType w:val="hybridMultilevel"/>
    <w:tmpl w:val="E5D0D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D2E38"/>
    <w:multiLevelType w:val="hybridMultilevel"/>
    <w:tmpl w:val="C44AFA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557D95"/>
    <w:multiLevelType w:val="hybridMultilevel"/>
    <w:tmpl w:val="146AA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66516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D54E8F"/>
    <w:multiLevelType w:val="hybridMultilevel"/>
    <w:tmpl w:val="2F16C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66516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6F5254"/>
    <w:multiLevelType w:val="hybridMultilevel"/>
    <w:tmpl w:val="37F41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B5082"/>
    <w:multiLevelType w:val="hybridMultilevel"/>
    <w:tmpl w:val="9D682D26"/>
    <w:lvl w:ilvl="0" w:tplc="3C0AA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80630"/>
    <w:multiLevelType w:val="hybridMultilevel"/>
    <w:tmpl w:val="A23A3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C21F20"/>
    <w:multiLevelType w:val="hybridMultilevel"/>
    <w:tmpl w:val="9538EE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66516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DC1C75"/>
    <w:multiLevelType w:val="hybridMultilevel"/>
    <w:tmpl w:val="2D5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1938C1"/>
    <w:multiLevelType w:val="hybridMultilevel"/>
    <w:tmpl w:val="E1AC4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313A80"/>
    <w:multiLevelType w:val="hybridMultilevel"/>
    <w:tmpl w:val="57A6E4A6"/>
    <w:lvl w:ilvl="0" w:tplc="3C0AA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424C6E"/>
    <w:multiLevelType w:val="hybridMultilevel"/>
    <w:tmpl w:val="AC98A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66516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D6050E"/>
    <w:multiLevelType w:val="hybridMultilevel"/>
    <w:tmpl w:val="1550F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D01C84"/>
    <w:multiLevelType w:val="hybridMultilevel"/>
    <w:tmpl w:val="A27AC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5A7FBC"/>
    <w:multiLevelType w:val="hybridMultilevel"/>
    <w:tmpl w:val="4B8ED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842CF"/>
    <w:multiLevelType w:val="hybridMultilevel"/>
    <w:tmpl w:val="1004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A11F6"/>
    <w:multiLevelType w:val="hybridMultilevel"/>
    <w:tmpl w:val="FCE20EF6"/>
    <w:lvl w:ilvl="0" w:tplc="3C0AA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7634A6"/>
    <w:multiLevelType w:val="hybridMultilevel"/>
    <w:tmpl w:val="AD728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44378"/>
    <w:multiLevelType w:val="hybridMultilevel"/>
    <w:tmpl w:val="4BF21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66516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297CF6"/>
    <w:multiLevelType w:val="hybridMultilevel"/>
    <w:tmpl w:val="B244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95FAB"/>
    <w:multiLevelType w:val="hybridMultilevel"/>
    <w:tmpl w:val="DABAA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1B4C66"/>
    <w:multiLevelType w:val="hybridMultilevel"/>
    <w:tmpl w:val="6A8AA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D12785"/>
    <w:multiLevelType w:val="hybridMultilevel"/>
    <w:tmpl w:val="C7A46646"/>
    <w:lvl w:ilvl="0" w:tplc="3C0AA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150778"/>
    <w:multiLevelType w:val="hybridMultilevel"/>
    <w:tmpl w:val="793A4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84B94"/>
    <w:multiLevelType w:val="hybridMultilevel"/>
    <w:tmpl w:val="44524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66516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F173F1B"/>
    <w:multiLevelType w:val="hybridMultilevel"/>
    <w:tmpl w:val="793A36B8"/>
    <w:lvl w:ilvl="0" w:tplc="3C0AA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D2718C"/>
    <w:multiLevelType w:val="hybridMultilevel"/>
    <w:tmpl w:val="A86A55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D2713B"/>
    <w:multiLevelType w:val="hybridMultilevel"/>
    <w:tmpl w:val="48708170"/>
    <w:lvl w:ilvl="0" w:tplc="3C0AA2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F920F95"/>
    <w:multiLevelType w:val="hybridMultilevel"/>
    <w:tmpl w:val="BF4A0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221AE7"/>
    <w:multiLevelType w:val="hybridMultilevel"/>
    <w:tmpl w:val="FC7A9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5750F"/>
    <w:multiLevelType w:val="hybridMultilevel"/>
    <w:tmpl w:val="FF805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E4414"/>
    <w:multiLevelType w:val="hybridMultilevel"/>
    <w:tmpl w:val="DA56C2E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5" w15:restartNumberingAfterBreak="0">
    <w:nsid w:val="7DE46C84"/>
    <w:multiLevelType w:val="hybridMultilevel"/>
    <w:tmpl w:val="C7EC54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E97004"/>
    <w:multiLevelType w:val="hybridMultilevel"/>
    <w:tmpl w:val="9398B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46"/>
  </w:num>
  <w:num w:numId="4">
    <w:abstractNumId w:val="38"/>
  </w:num>
  <w:num w:numId="5">
    <w:abstractNumId w:val="23"/>
  </w:num>
  <w:num w:numId="6">
    <w:abstractNumId w:val="40"/>
  </w:num>
  <w:num w:numId="7">
    <w:abstractNumId w:val="35"/>
  </w:num>
  <w:num w:numId="8">
    <w:abstractNumId w:val="1"/>
  </w:num>
  <w:num w:numId="9">
    <w:abstractNumId w:val="18"/>
  </w:num>
  <w:num w:numId="10">
    <w:abstractNumId w:val="14"/>
  </w:num>
  <w:num w:numId="11">
    <w:abstractNumId w:val="39"/>
  </w:num>
  <w:num w:numId="12">
    <w:abstractNumId w:val="7"/>
  </w:num>
  <w:num w:numId="13">
    <w:abstractNumId w:val="34"/>
  </w:num>
  <w:num w:numId="14">
    <w:abstractNumId w:val="33"/>
  </w:num>
  <w:num w:numId="15">
    <w:abstractNumId w:val="41"/>
  </w:num>
  <w:num w:numId="16">
    <w:abstractNumId w:val="28"/>
  </w:num>
  <w:num w:numId="17">
    <w:abstractNumId w:val="26"/>
  </w:num>
  <w:num w:numId="18">
    <w:abstractNumId w:val="32"/>
  </w:num>
  <w:num w:numId="19">
    <w:abstractNumId w:val="44"/>
  </w:num>
  <w:num w:numId="20">
    <w:abstractNumId w:val="42"/>
  </w:num>
  <w:num w:numId="21">
    <w:abstractNumId w:val="17"/>
  </w:num>
  <w:num w:numId="22">
    <w:abstractNumId w:val="13"/>
  </w:num>
  <w:num w:numId="23">
    <w:abstractNumId w:val="5"/>
  </w:num>
  <w:num w:numId="24">
    <w:abstractNumId w:val="27"/>
  </w:num>
  <w:num w:numId="25">
    <w:abstractNumId w:val="45"/>
  </w:num>
  <w:num w:numId="26">
    <w:abstractNumId w:val="10"/>
  </w:num>
  <w:num w:numId="27">
    <w:abstractNumId w:val="2"/>
  </w:num>
  <w:num w:numId="28">
    <w:abstractNumId w:val="0"/>
  </w:num>
  <w:num w:numId="29">
    <w:abstractNumId w:val="12"/>
  </w:num>
  <w:num w:numId="30">
    <w:abstractNumId w:val="21"/>
  </w:num>
  <w:num w:numId="31">
    <w:abstractNumId w:val="10"/>
  </w:num>
  <w:num w:numId="32">
    <w:abstractNumId w:val="0"/>
  </w:num>
  <w:num w:numId="33">
    <w:abstractNumId w:val="2"/>
  </w:num>
  <w:num w:numId="34">
    <w:abstractNumId w:val="19"/>
  </w:num>
  <w:num w:numId="35">
    <w:abstractNumId w:val="37"/>
  </w:num>
  <w:num w:numId="36">
    <w:abstractNumId w:val="6"/>
  </w:num>
  <w:num w:numId="37">
    <w:abstractNumId w:val="20"/>
  </w:num>
  <w:num w:numId="38">
    <w:abstractNumId w:val="31"/>
  </w:num>
  <w:num w:numId="39">
    <w:abstractNumId w:val="16"/>
  </w:num>
  <w:num w:numId="40">
    <w:abstractNumId w:val="15"/>
  </w:num>
  <w:num w:numId="41">
    <w:abstractNumId w:val="24"/>
  </w:num>
  <w:num w:numId="42">
    <w:abstractNumId w:val="4"/>
  </w:num>
  <w:num w:numId="43">
    <w:abstractNumId w:val="30"/>
  </w:num>
  <w:num w:numId="44">
    <w:abstractNumId w:val="8"/>
  </w:num>
  <w:num w:numId="45">
    <w:abstractNumId w:val="3"/>
  </w:num>
  <w:num w:numId="46">
    <w:abstractNumId w:val="25"/>
  </w:num>
  <w:num w:numId="47">
    <w:abstractNumId w:val="9"/>
  </w:num>
  <w:num w:numId="48">
    <w:abstractNumId w:val="43"/>
  </w:num>
  <w:num w:numId="49">
    <w:abstractNumId w:val="11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fa0a5dw1ezvdjeepts5wt50erwpr22vdaez&quot;&gt;BARN013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6&lt;/item&gt;&lt;item&gt;17&lt;/item&gt;&lt;item&gt;18&lt;/item&gt;&lt;item&gt;19&lt;/item&gt;&lt;item&gt;20&lt;/item&gt;&lt;item&gt;21&lt;/item&gt;&lt;item&gt;22&lt;/item&gt;&lt;item&gt;23&lt;/item&gt;&lt;item&gt;24&lt;/item&gt;&lt;/record-ids&gt;&lt;/item&gt;&lt;/Libraries&gt;"/>
  </w:docVars>
  <w:rsids>
    <w:rsidRoot w:val="00675E20"/>
    <w:rsid w:val="00001DE3"/>
    <w:rsid w:val="00002DEE"/>
    <w:rsid w:val="00004C41"/>
    <w:rsid w:val="000107C0"/>
    <w:rsid w:val="00011E3D"/>
    <w:rsid w:val="00014725"/>
    <w:rsid w:val="0001624B"/>
    <w:rsid w:val="00016614"/>
    <w:rsid w:val="0002168C"/>
    <w:rsid w:val="0002521C"/>
    <w:rsid w:val="00026555"/>
    <w:rsid w:val="00026CE8"/>
    <w:rsid w:val="000301F1"/>
    <w:rsid w:val="00031167"/>
    <w:rsid w:val="00031F4C"/>
    <w:rsid w:val="00034345"/>
    <w:rsid w:val="000407AD"/>
    <w:rsid w:val="0004125B"/>
    <w:rsid w:val="00043CBF"/>
    <w:rsid w:val="00043FD6"/>
    <w:rsid w:val="00046220"/>
    <w:rsid w:val="0005106E"/>
    <w:rsid w:val="00051C4F"/>
    <w:rsid w:val="0005465A"/>
    <w:rsid w:val="00054F25"/>
    <w:rsid w:val="00061661"/>
    <w:rsid w:val="00061720"/>
    <w:rsid w:val="00062340"/>
    <w:rsid w:val="00063EC1"/>
    <w:rsid w:val="000655F3"/>
    <w:rsid w:val="0006688C"/>
    <w:rsid w:val="00067C92"/>
    <w:rsid w:val="000700E0"/>
    <w:rsid w:val="00075A91"/>
    <w:rsid w:val="00077B16"/>
    <w:rsid w:val="00077B6C"/>
    <w:rsid w:val="00082474"/>
    <w:rsid w:val="00082A9F"/>
    <w:rsid w:val="000848BD"/>
    <w:rsid w:val="000852DF"/>
    <w:rsid w:val="00085459"/>
    <w:rsid w:val="000858C1"/>
    <w:rsid w:val="00094AAE"/>
    <w:rsid w:val="000A0F80"/>
    <w:rsid w:val="000A34C4"/>
    <w:rsid w:val="000A5424"/>
    <w:rsid w:val="000A5CCC"/>
    <w:rsid w:val="000B00A0"/>
    <w:rsid w:val="000B0BA0"/>
    <w:rsid w:val="000B156D"/>
    <w:rsid w:val="000B33D7"/>
    <w:rsid w:val="000B54DF"/>
    <w:rsid w:val="000C3B02"/>
    <w:rsid w:val="000C688B"/>
    <w:rsid w:val="000C7566"/>
    <w:rsid w:val="000D0E66"/>
    <w:rsid w:val="000D42F3"/>
    <w:rsid w:val="000E011E"/>
    <w:rsid w:val="000E07F9"/>
    <w:rsid w:val="000E108C"/>
    <w:rsid w:val="000F2A9B"/>
    <w:rsid w:val="000F5F73"/>
    <w:rsid w:val="000F632C"/>
    <w:rsid w:val="000F651B"/>
    <w:rsid w:val="001013D7"/>
    <w:rsid w:val="001019B5"/>
    <w:rsid w:val="00106BBD"/>
    <w:rsid w:val="001104C2"/>
    <w:rsid w:val="00111012"/>
    <w:rsid w:val="00112C96"/>
    <w:rsid w:val="001157C1"/>
    <w:rsid w:val="001177C9"/>
    <w:rsid w:val="00117928"/>
    <w:rsid w:val="00120FEB"/>
    <w:rsid w:val="00125198"/>
    <w:rsid w:val="00127CA1"/>
    <w:rsid w:val="0013283D"/>
    <w:rsid w:val="00134A56"/>
    <w:rsid w:val="00137F46"/>
    <w:rsid w:val="00140F0E"/>
    <w:rsid w:val="00141C33"/>
    <w:rsid w:val="00143D18"/>
    <w:rsid w:val="001522CD"/>
    <w:rsid w:val="00156823"/>
    <w:rsid w:val="001602AC"/>
    <w:rsid w:val="00160F31"/>
    <w:rsid w:val="00161A1D"/>
    <w:rsid w:val="001620EA"/>
    <w:rsid w:val="0016220E"/>
    <w:rsid w:val="00164B70"/>
    <w:rsid w:val="00167ECA"/>
    <w:rsid w:val="001809F2"/>
    <w:rsid w:val="001853DA"/>
    <w:rsid w:val="00187A25"/>
    <w:rsid w:val="00194340"/>
    <w:rsid w:val="00196D34"/>
    <w:rsid w:val="00196D6B"/>
    <w:rsid w:val="001A0A51"/>
    <w:rsid w:val="001A3B0B"/>
    <w:rsid w:val="001A403B"/>
    <w:rsid w:val="001A6B4B"/>
    <w:rsid w:val="001A6BA2"/>
    <w:rsid w:val="001A6FE0"/>
    <w:rsid w:val="001B0775"/>
    <w:rsid w:val="001B0CDA"/>
    <w:rsid w:val="001B4484"/>
    <w:rsid w:val="001B75E8"/>
    <w:rsid w:val="001C0D94"/>
    <w:rsid w:val="001D0786"/>
    <w:rsid w:val="001D4D86"/>
    <w:rsid w:val="001D7429"/>
    <w:rsid w:val="001E34A2"/>
    <w:rsid w:val="001E6948"/>
    <w:rsid w:val="001F0F85"/>
    <w:rsid w:val="001F383E"/>
    <w:rsid w:val="001F5095"/>
    <w:rsid w:val="001F5D67"/>
    <w:rsid w:val="00200489"/>
    <w:rsid w:val="00201A32"/>
    <w:rsid w:val="00202B22"/>
    <w:rsid w:val="002030BE"/>
    <w:rsid w:val="002231E1"/>
    <w:rsid w:val="00223F76"/>
    <w:rsid w:val="00226D01"/>
    <w:rsid w:val="002377AD"/>
    <w:rsid w:val="00237B9F"/>
    <w:rsid w:val="00237C82"/>
    <w:rsid w:val="00241FB2"/>
    <w:rsid w:val="00243AD9"/>
    <w:rsid w:val="00261300"/>
    <w:rsid w:val="00262295"/>
    <w:rsid w:val="0026524D"/>
    <w:rsid w:val="00265CA1"/>
    <w:rsid w:val="00272CB5"/>
    <w:rsid w:val="00274401"/>
    <w:rsid w:val="00274D3B"/>
    <w:rsid w:val="00283D41"/>
    <w:rsid w:val="0028489F"/>
    <w:rsid w:val="00290114"/>
    <w:rsid w:val="002913BE"/>
    <w:rsid w:val="002A1DA3"/>
    <w:rsid w:val="002A4B8B"/>
    <w:rsid w:val="002B082F"/>
    <w:rsid w:val="002B24C6"/>
    <w:rsid w:val="002C10CC"/>
    <w:rsid w:val="002C175D"/>
    <w:rsid w:val="002C5FD2"/>
    <w:rsid w:val="002C6AB7"/>
    <w:rsid w:val="002C76E9"/>
    <w:rsid w:val="002C7E55"/>
    <w:rsid w:val="002D052E"/>
    <w:rsid w:val="002D4159"/>
    <w:rsid w:val="002D6ACE"/>
    <w:rsid w:val="002E4F72"/>
    <w:rsid w:val="002E75D7"/>
    <w:rsid w:val="002E7B66"/>
    <w:rsid w:val="002F1247"/>
    <w:rsid w:val="002F1DAE"/>
    <w:rsid w:val="002F3CE1"/>
    <w:rsid w:val="002F6813"/>
    <w:rsid w:val="00305494"/>
    <w:rsid w:val="0031061E"/>
    <w:rsid w:val="00310DF0"/>
    <w:rsid w:val="003124E0"/>
    <w:rsid w:val="003159F7"/>
    <w:rsid w:val="00316D98"/>
    <w:rsid w:val="00324CCA"/>
    <w:rsid w:val="0032587F"/>
    <w:rsid w:val="00325A30"/>
    <w:rsid w:val="00326A43"/>
    <w:rsid w:val="003311B8"/>
    <w:rsid w:val="00331426"/>
    <w:rsid w:val="00336815"/>
    <w:rsid w:val="00337D97"/>
    <w:rsid w:val="00342FE3"/>
    <w:rsid w:val="003451E7"/>
    <w:rsid w:val="00345F3D"/>
    <w:rsid w:val="00346C46"/>
    <w:rsid w:val="0035054F"/>
    <w:rsid w:val="0035094C"/>
    <w:rsid w:val="003530A5"/>
    <w:rsid w:val="00353E2F"/>
    <w:rsid w:val="0036133D"/>
    <w:rsid w:val="003619F8"/>
    <w:rsid w:val="00361E5E"/>
    <w:rsid w:val="00362F3D"/>
    <w:rsid w:val="0036376E"/>
    <w:rsid w:val="00364D3A"/>
    <w:rsid w:val="003734DD"/>
    <w:rsid w:val="003736BD"/>
    <w:rsid w:val="003812DD"/>
    <w:rsid w:val="00381791"/>
    <w:rsid w:val="0038396E"/>
    <w:rsid w:val="003857F9"/>
    <w:rsid w:val="0038619F"/>
    <w:rsid w:val="0038739D"/>
    <w:rsid w:val="00391739"/>
    <w:rsid w:val="003931BE"/>
    <w:rsid w:val="00393486"/>
    <w:rsid w:val="003956D8"/>
    <w:rsid w:val="003A1DE3"/>
    <w:rsid w:val="003A436F"/>
    <w:rsid w:val="003A4684"/>
    <w:rsid w:val="003A6A6E"/>
    <w:rsid w:val="003B13B2"/>
    <w:rsid w:val="003B1466"/>
    <w:rsid w:val="003B1DF3"/>
    <w:rsid w:val="003B2D38"/>
    <w:rsid w:val="003B756B"/>
    <w:rsid w:val="003C2EE0"/>
    <w:rsid w:val="003C59D8"/>
    <w:rsid w:val="003D10DD"/>
    <w:rsid w:val="003D1EBB"/>
    <w:rsid w:val="003D36FF"/>
    <w:rsid w:val="003D6390"/>
    <w:rsid w:val="003E3C39"/>
    <w:rsid w:val="003E4E58"/>
    <w:rsid w:val="003E536E"/>
    <w:rsid w:val="003F116D"/>
    <w:rsid w:val="003F5367"/>
    <w:rsid w:val="003F6578"/>
    <w:rsid w:val="00401190"/>
    <w:rsid w:val="00403005"/>
    <w:rsid w:val="00404523"/>
    <w:rsid w:val="00406E83"/>
    <w:rsid w:val="004105E2"/>
    <w:rsid w:val="00410A3B"/>
    <w:rsid w:val="00417C58"/>
    <w:rsid w:val="0042310C"/>
    <w:rsid w:val="0042476C"/>
    <w:rsid w:val="00424FD1"/>
    <w:rsid w:val="0042796C"/>
    <w:rsid w:val="004279CD"/>
    <w:rsid w:val="004301E5"/>
    <w:rsid w:val="00436061"/>
    <w:rsid w:val="004366BF"/>
    <w:rsid w:val="00445280"/>
    <w:rsid w:val="00446889"/>
    <w:rsid w:val="0044695F"/>
    <w:rsid w:val="004473B4"/>
    <w:rsid w:val="00450EF8"/>
    <w:rsid w:val="00454660"/>
    <w:rsid w:val="00454911"/>
    <w:rsid w:val="00454AFD"/>
    <w:rsid w:val="00460DBF"/>
    <w:rsid w:val="00465527"/>
    <w:rsid w:val="004659D6"/>
    <w:rsid w:val="00466946"/>
    <w:rsid w:val="00466F14"/>
    <w:rsid w:val="0046750A"/>
    <w:rsid w:val="00467F50"/>
    <w:rsid w:val="00473EBA"/>
    <w:rsid w:val="004855FE"/>
    <w:rsid w:val="0049151A"/>
    <w:rsid w:val="00491923"/>
    <w:rsid w:val="004966D8"/>
    <w:rsid w:val="004A0586"/>
    <w:rsid w:val="004A7FD2"/>
    <w:rsid w:val="004B117F"/>
    <w:rsid w:val="004B301A"/>
    <w:rsid w:val="004C30EA"/>
    <w:rsid w:val="004C341B"/>
    <w:rsid w:val="004C3D05"/>
    <w:rsid w:val="004C4D0D"/>
    <w:rsid w:val="004C623D"/>
    <w:rsid w:val="004D054B"/>
    <w:rsid w:val="004D0B01"/>
    <w:rsid w:val="004D3537"/>
    <w:rsid w:val="004E02A5"/>
    <w:rsid w:val="004E4255"/>
    <w:rsid w:val="004E43F6"/>
    <w:rsid w:val="004E533F"/>
    <w:rsid w:val="004E7558"/>
    <w:rsid w:val="004F0362"/>
    <w:rsid w:val="004F478E"/>
    <w:rsid w:val="0050061F"/>
    <w:rsid w:val="00502861"/>
    <w:rsid w:val="00504003"/>
    <w:rsid w:val="0051086A"/>
    <w:rsid w:val="00511DCF"/>
    <w:rsid w:val="0051215F"/>
    <w:rsid w:val="00514E0C"/>
    <w:rsid w:val="0051505C"/>
    <w:rsid w:val="00516FC1"/>
    <w:rsid w:val="00517B55"/>
    <w:rsid w:val="00524E24"/>
    <w:rsid w:val="0054783F"/>
    <w:rsid w:val="00553E1F"/>
    <w:rsid w:val="0055572B"/>
    <w:rsid w:val="00562764"/>
    <w:rsid w:val="00563A2E"/>
    <w:rsid w:val="00563B72"/>
    <w:rsid w:val="005759A8"/>
    <w:rsid w:val="0057716A"/>
    <w:rsid w:val="00577C39"/>
    <w:rsid w:val="00580033"/>
    <w:rsid w:val="00582B84"/>
    <w:rsid w:val="005870A3"/>
    <w:rsid w:val="00590880"/>
    <w:rsid w:val="00591914"/>
    <w:rsid w:val="005926F2"/>
    <w:rsid w:val="0059668A"/>
    <w:rsid w:val="0059754F"/>
    <w:rsid w:val="005A153F"/>
    <w:rsid w:val="005A1D11"/>
    <w:rsid w:val="005A29E6"/>
    <w:rsid w:val="005A6717"/>
    <w:rsid w:val="005B3FF2"/>
    <w:rsid w:val="005B5EA6"/>
    <w:rsid w:val="005B70D2"/>
    <w:rsid w:val="005B7E33"/>
    <w:rsid w:val="005C0597"/>
    <w:rsid w:val="005C0714"/>
    <w:rsid w:val="005C1849"/>
    <w:rsid w:val="005C222A"/>
    <w:rsid w:val="005C4B9B"/>
    <w:rsid w:val="005C7D43"/>
    <w:rsid w:val="005D075E"/>
    <w:rsid w:val="005D222C"/>
    <w:rsid w:val="005D3ED2"/>
    <w:rsid w:val="005D6D48"/>
    <w:rsid w:val="005E2109"/>
    <w:rsid w:val="005E28E0"/>
    <w:rsid w:val="005E368A"/>
    <w:rsid w:val="005F108D"/>
    <w:rsid w:val="005F2076"/>
    <w:rsid w:val="00603CF3"/>
    <w:rsid w:val="006056BA"/>
    <w:rsid w:val="0060777E"/>
    <w:rsid w:val="00607996"/>
    <w:rsid w:val="00611CF4"/>
    <w:rsid w:val="0061304B"/>
    <w:rsid w:val="00614948"/>
    <w:rsid w:val="00615B0F"/>
    <w:rsid w:val="006160B4"/>
    <w:rsid w:val="006172F3"/>
    <w:rsid w:val="00621371"/>
    <w:rsid w:val="00636944"/>
    <w:rsid w:val="00641BA3"/>
    <w:rsid w:val="00641F66"/>
    <w:rsid w:val="00643BE5"/>
    <w:rsid w:val="00647B1B"/>
    <w:rsid w:val="00653CBB"/>
    <w:rsid w:val="006550CA"/>
    <w:rsid w:val="006564D5"/>
    <w:rsid w:val="0065774F"/>
    <w:rsid w:val="00657A0B"/>
    <w:rsid w:val="0066176C"/>
    <w:rsid w:val="006630CC"/>
    <w:rsid w:val="00665950"/>
    <w:rsid w:val="006663A9"/>
    <w:rsid w:val="0066706F"/>
    <w:rsid w:val="00670577"/>
    <w:rsid w:val="00671D52"/>
    <w:rsid w:val="00672777"/>
    <w:rsid w:val="00673D1B"/>
    <w:rsid w:val="00675E20"/>
    <w:rsid w:val="00676858"/>
    <w:rsid w:val="00676E31"/>
    <w:rsid w:val="00677800"/>
    <w:rsid w:val="00680016"/>
    <w:rsid w:val="0068032D"/>
    <w:rsid w:val="006824A9"/>
    <w:rsid w:val="00683925"/>
    <w:rsid w:val="0068619A"/>
    <w:rsid w:val="00692143"/>
    <w:rsid w:val="00692380"/>
    <w:rsid w:val="00693639"/>
    <w:rsid w:val="0069411A"/>
    <w:rsid w:val="006A070E"/>
    <w:rsid w:val="006A30B8"/>
    <w:rsid w:val="006C23A6"/>
    <w:rsid w:val="006C2B41"/>
    <w:rsid w:val="006C3D16"/>
    <w:rsid w:val="006C4150"/>
    <w:rsid w:val="006C62AF"/>
    <w:rsid w:val="006D32D3"/>
    <w:rsid w:val="006D4FD7"/>
    <w:rsid w:val="006D5A2B"/>
    <w:rsid w:val="006D7D9C"/>
    <w:rsid w:val="006E183D"/>
    <w:rsid w:val="006E40F4"/>
    <w:rsid w:val="006F1615"/>
    <w:rsid w:val="006F2280"/>
    <w:rsid w:val="006F4C31"/>
    <w:rsid w:val="006F58EE"/>
    <w:rsid w:val="007034DB"/>
    <w:rsid w:val="00703AA5"/>
    <w:rsid w:val="0070750B"/>
    <w:rsid w:val="0071022A"/>
    <w:rsid w:val="0071318B"/>
    <w:rsid w:val="00716B07"/>
    <w:rsid w:val="00717296"/>
    <w:rsid w:val="00717469"/>
    <w:rsid w:val="0072156C"/>
    <w:rsid w:val="00724E43"/>
    <w:rsid w:val="007261EF"/>
    <w:rsid w:val="0073068F"/>
    <w:rsid w:val="007335E5"/>
    <w:rsid w:val="007422C3"/>
    <w:rsid w:val="00743021"/>
    <w:rsid w:val="00745403"/>
    <w:rsid w:val="007472E8"/>
    <w:rsid w:val="0074771C"/>
    <w:rsid w:val="007514B0"/>
    <w:rsid w:val="007516F3"/>
    <w:rsid w:val="00756FEF"/>
    <w:rsid w:val="0076468D"/>
    <w:rsid w:val="00765815"/>
    <w:rsid w:val="0077460E"/>
    <w:rsid w:val="00777E6D"/>
    <w:rsid w:val="00782C16"/>
    <w:rsid w:val="00783B0E"/>
    <w:rsid w:val="00785F8F"/>
    <w:rsid w:val="007872C5"/>
    <w:rsid w:val="00790012"/>
    <w:rsid w:val="00790104"/>
    <w:rsid w:val="0079473D"/>
    <w:rsid w:val="007A1361"/>
    <w:rsid w:val="007B4063"/>
    <w:rsid w:val="007C0104"/>
    <w:rsid w:val="007D0505"/>
    <w:rsid w:val="007D1CBA"/>
    <w:rsid w:val="007D2BF1"/>
    <w:rsid w:val="007E1F8C"/>
    <w:rsid w:val="007E6B4C"/>
    <w:rsid w:val="007F0D8B"/>
    <w:rsid w:val="007F19E2"/>
    <w:rsid w:val="007F2922"/>
    <w:rsid w:val="007F2B2F"/>
    <w:rsid w:val="007F3EA1"/>
    <w:rsid w:val="007F52E8"/>
    <w:rsid w:val="007F680B"/>
    <w:rsid w:val="00800C8F"/>
    <w:rsid w:val="0080111A"/>
    <w:rsid w:val="00806F24"/>
    <w:rsid w:val="008162B1"/>
    <w:rsid w:val="0082296C"/>
    <w:rsid w:val="00823239"/>
    <w:rsid w:val="00831BE7"/>
    <w:rsid w:val="00833613"/>
    <w:rsid w:val="00835EE7"/>
    <w:rsid w:val="00837329"/>
    <w:rsid w:val="008402B7"/>
    <w:rsid w:val="00840D7F"/>
    <w:rsid w:val="008437E0"/>
    <w:rsid w:val="00846E4E"/>
    <w:rsid w:val="00850900"/>
    <w:rsid w:val="00852130"/>
    <w:rsid w:val="0085237F"/>
    <w:rsid w:val="0085276E"/>
    <w:rsid w:val="00852C99"/>
    <w:rsid w:val="00855C4B"/>
    <w:rsid w:val="00856C87"/>
    <w:rsid w:val="00861766"/>
    <w:rsid w:val="008648CD"/>
    <w:rsid w:val="008678AF"/>
    <w:rsid w:val="00872489"/>
    <w:rsid w:val="00872974"/>
    <w:rsid w:val="008730A6"/>
    <w:rsid w:val="00874E85"/>
    <w:rsid w:val="00881604"/>
    <w:rsid w:val="00893F8D"/>
    <w:rsid w:val="00894DF8"/>
    <w:rsid w:val="00896EA6"/>
    <w:rsid w:val="008A0091"/>
    <w:rsid w:val="008A1D69"/>
    <w:rsid w:val="008A2681"/>
    <w:rsid w:val="008A2CBD"/>
    <w:rsid w:val="008A3AA9"/>
    <w:rsid w:val="008A50ED"/>
    <w:rsid w:val="008A5392"/>
    <w:rsid w:val="008A571A"/>
    <w:rsid w:val="008B1E2C"/>
    <w:rsid w:val="008B319B"/>
    <w:rsid w:val="008C15A3"/>
    <w:rsid w:val="008C24BC"/>
    <w:rsid w:val="008D56DF"/>
    <w:rsid w:val="008D5703"/>
    <w:rsid w:val="008E1C0E"/>
    <w:rsid w:val="008E24D7"/>
    <w:rsid w:val="008E3035"/>
    <w:rsid w:val="008E6856"/>
    <w:rsid w:val="008F014C"/>
    <w:rsid w:val="008F2ADA"/>
    <w:rsid w:val="00901F5F"/>
    <w:rsid w:val="00906ED2"/>
    <w:rsid w:val="00907A31"/>
    <w:rsid w:val="00911A7A"/>
    <w:rsid w:val="00914CB6"/>
    <w:rsid w:val="00917832"/>
    <w:rsid w:val="00923219"/>
    <w:rsid w:val="00923863"/>
    <w:rsid w:val="00923EC4"/>
    <w:rsid w:val="00940989"/>
    <w:rsid w:val="00941845"/>
    <w:rsid w:val="00942160"/>
    <w:rsid w:val="0094408E"/>
    <w:rsid w:val="009468D2"/>
    <w:rsid w:val="00951E3E"/>
    <w:rsid w:val="00957CC3"/>
    <w:rsid w:val="0096078C"/>
    <w:rsid w:val="00964E84"/>
    <w:rsid w:val="009656C7"/>
    <w:rsid w:val="00967A98"/>
    <w:rsid w:val="009705ED"/>
    <w:rsid w:val="009706C4"/>
    <w:rsid w:val="0097149C"/>
    <w:rsid w:val="00972BB1"/>
    <w:rsid w:val="00974058"/>
    <w:rsid w:val="00974F3B"/>
    <w:rsid w:val="009764E0"/>
    <w:rsid w:val="0098268D"/>
    <w:rsid w:val="00984B1C"/>
    <w:rsid w:val="0098580E"/>
    <w:rsid w:val="00990AAB"/>
    <w:rsid w:val="009946BD"/>
    <w:rsid w:val="009951DC"/>
    <w:rsid w:val="00997CBA"/>
    <w:rsid w:val="009A4694"/>
    <w:rsid w:val="009A7932"/>
    <w:rsid w:val="009B4289"/>
    <w:rsid w:val="009B6FF1"/>
    <w:rsid w:val="009C03BF"/>
    <w:rsid w:val="009C0FBF"/>
    <w:rsid w:val="009C12D1"/>
    <w:rsid w:val="009C2499"/>
    <w:rsid w:val="009C522C"/>
    <w:rsid w:val="009C6EE8"/>
    <w:rsid w:val="009C6EF5"/>
    <w:rsid w:val="009D360B"/>
    <w:rsid w:val="009D4C54"/>
    <w:rsid w:val="009F29DD"/>
    <w:rsid w:val="00A03074"/>
    <w:rsid w:val="00A0699E"/>
    <w:rsid w:val="00A07D38"/>
    <w:rsid w:val="00A114CA"/>
    <w:rsid w:val="00A17222"/>
    <w:rsid w:val="00A30D10"/>
    <w:rsid w:val="00A34AD4"/>
    <w:rsid w:val="00A36658"/>
    <w:rsid w:val="00A40DC3"/>
    <w:rsid w:val="00A413C3"/>
    <w:rsid w:val="00A4195C"/>
    <w:rsid w:val="00A459E1"/>
    <w:rsid w:val="00A468BF"/>
    <w:rsid w:val="00A50724"/>
    <w:rsid w:val="00A6677E"/>
    <w:rsid w:val="00A7446A"/>
    <w:rsid w:val="00A75FAF"/>
    <w:rsid w:val="00A76FD9"/>
    <w:rsid w:val="00A7761A"/>
    <w:rsid w:val="00A77B43"/>
    <w:rsid w:val="00A82FD5"/>
    <w:rsid w:val="00A85C84"/>
    <w:rsid w:val="00A91423"/>
    <w:rsid w:val="00A93BDF"/>
    <w:rsid w:val="00A94169"/>
    <w:rsid w:val="00AA02C8"/>
    <w:rsid w:val="00AA129A"/>
    <w:rsid w:val="00AA5081"/>
    <w:rsid w:val="00AA74AB"/>
    <w:rsid w:val="00AB364C"/>
    <w:rsid w:val="00AB37D5"/>
    <w:rsid w:val="00AB52AE"/>
    <w:rsid w:val="00AC02D8"/>
    <w:rsid w:val="00AC2957"/>
    <w:rsid w:val="00AC5495"/>
    <w:rsid w:val="00AC60F8"/>
    <w:rsid w:val="00AC6165"/>
    <w:rsid w:val="00AD14C9"/>
    <w:rsid w:val="00AD32ED"/>
    <w:rsid w:val="00AE380F"/>
    <w:rsid w:val="00AF1DCD"/>
    <w:rsid w:val="00AF4754"/>
    <w:rsid w:val="00AF5CAD"/>
    <w:rsid w:val="00AF68B3"/>
    <w:rsid w:val="00B00626"/>
    <w:rsid w:val="00B00D70"/>
    <w:rsid w:val="00B02743"/>
    <w:rsid w:val="00B02DCD"/>
    <w:rsid w:val="00B131AA"/>
    <w:rsid w:val="00B20BF8"/>
    <w:rsid w:val="00B246B7"/>
    <w:rsid w:val="00B261BF"/>
    <w:rsid w:val="00B274F2"/>
    <w:rsid w:val="00B30047"/>
    <w:rsid w:val="00B300C5"/>
    <w:rsid w:val="00B3163E"/>
    <w:rsid w:val="00B32115"/>
    <w:rsid w:val="00B40907"/>
    <w:rsid w:val="00B41976"/>
    <w:rsid w:val="00B41D94"/>
    <w:rsid w:val="00B445DE"/>
    <w:rsid w:val="00B510B6"/>
    <w:rsid w:val="00B53F5F"/>
    <w:rsid w:val="00B561EF"/>
    <w:rsid w:val="00B57F5D"/>
    <w:rsid w:val="00B63C22"/>
    <w:rsid w:val="00B676EF"/>
    <w:rsid w:val="00B70506"/>
    <w:rsid w:val="00B709D5"/>
    <w:rsid w:val="00B747E4"/>
    <w:rsid w:val="00B74DF5"/>
    <w:rsid w:val="00B7609E"/>
    <w:rsid w:val="00B86DFE"/>
    <w:rsid w:val="00B9069E"/>
    <w:rsid w:val="00B91412"/>
    <w:rsid w:val="00B93205"/>
    <w:rsid w:val="00B945CC"/>
    <w:rsid w:val="00B94642"/>
    <w:rsid w:val="00B95241"/>
    <w:rsid w:val="00BA27FE"/>
    <w:rsid w:val="00BA4323"/>
    <w:rsid w:val="00BA50C6"/>
    <w:rsid w:val="00BB2300"/>
    <w:rsid w:val="00BC5E33"/>
    <w:rsid w:val="00BD4AD0"/>
    <w:rsid w:val="00BD6AF8"/>
    <w:rsid w:val="00BD7177"/>
    <w:rsid w:val="00BD7E9A"/>
    <w:rsid w:val="00BE0CD2"/>
    <w:rsid w:val="00BE44C5"/>
    <w:rsid w:val="00BE5658"/>
    <w:rsid w:val="00BE5A4B"/>
    <w:rsid w:val="00BE5E8B"/>
    <w:rsid w:val="00BF3B86"/>
    <w:rsid w:val="00C01C8F"/>
    <w:rsid w:val="00C02377"/>
    <w:rsid w:val="00C07DC1"/>
    <w:rsid w:val="00C103FD"/>
    <w:rsid w:val="00C1066D"/>
    <w:rsid w:val="00C10939"/>
    <w:rsid w:val="00C11039"/>
    <w:rsid w:val="00C125BA"/>
    <w:rsid w:val="00C1289A"/>
    <w:rsid w:val="00C14422"/>
    <w:rsid w:val="00C153CB"/>
    <w:rsid w:val="00C167BA"/>
    <w:rsid w:val="00C16C0A"/>
    <w:rsid w:val="00C1753C"/>
    <w:rsid w:val="00C202C8"/>
    <w:rsid w:val="00C24987"/>
    <w:rsid w:val="00C32370"/>
    <w:rsid w:val="00C32B4C"/>
    <w:rsid w:val="00C35683"/>
    <w:rsid w:val="00C45529"/>
    <w:rsid w:val="00C46509"/>
    <w:rsid w:val="00C5534C"/>
    <w:rsid w:val="00C55C43"/>
    <w:rsid w:val="00C56622"/>
    <w:rsid w:val="00C5750E"/>
    <w:rsid w:val="00C6139C"/>
    <w:rsid w:val="00C67326"/>
    <w:rsid w:val="00C67FF2"/>
    <w:rsid w:val="00C73980"/>
    <w:rsid w:val="00C75F0C"/>
    <w:rsid w:val="00C773B2"/>
    <w:rsid w:val="00C8262C"/>
    <w:rsid w:val="00C82CFE"/>
    <w:rsid w:val="00C8492A"/>
    <w:rsid w:val="00C861C7"/>
    <w:rsid w:val="00C914FB"/>
    <w:rsid w:val="00C96579"/>
    <w:rsid w:val="00C970A0"/>
    <w:rsid w:val="00CB4E3B"/>
    <w:rsid w:val="00CB5E9D"/>
    <w:rsid w:val="00CB7BE8"/>
    <w:rsid w:val="00CB7E97"/>
    <w:rsid w:val="00CC2241"/>
    <w:rsid w:val="00CC432C"/>
    <w:rsid w:val="00CC4AE8"/>
    <w:rsid w:val="00CC59D0"/>
    <w:rsid w:val="00CC7020"/>
    <w:rsid w:val="00CD08CD"/>
    <w:rsid w:val="00CD0904"/>
    <w:rsid w:val="00CD18CE"/>
    <w:rsid w:val="00CD2328"/>
    <w:rsid w:val="00CD3813"/>
    <w:rsid w:val="00CE452B"/>
    <w:rsid w:val="00CE682B"/>
    <w:rsid w:val="00CF0AD1"/>
    <w:rsid w:val="00D02317"/>
    <w:rsid w:val="00D03F3B"/>
    <w:rsid w:val="00D0458D"/>
    <w:rsid w:val="00D06863"/>
    <w:rsid w:val="00D14ECB"/>
    <w:rsid w:val="00D17742"/>
    <w:rsid w:val="00D24FA3"/>
    <w:rsid w:val="00D27A21"/>
    <w:rsid w:val="00D31620"/>
    <w:rsid w:val="00D322B6"/>
    <w:rsid w:val="00D32DBD"/>
    <w:rsid w:val="00D43C10"/>
    <w:rsid w:val="00D46CFB"/>
    <w:rsid w:val="00D50276"/>
    <w:rsid w:val="00D50CC5"/>
    <w:rsid w:val="00D51DD8"/>
    <w:rsid w:val="00D5242A"/>
    <w:rsid w:val="00D527FE"/>
    <w:rsid w:val="00D54944"/>
    <w:rsid w:val="00D61479"/>
    <w:rsid w:val="00D62D39"/>
    <w:rsid w:val="00D645D6"/>
    <w:rsid w:val="00D66BFB"/>
    <w:rsid w:val="00D67A01"/>
    <w:rsid w:val="00D67D76"/>
    <w:rsid w:val="00D70C42"/>
    <w:rsid w:val="00D76D03"/>
    <w:rsid w:val="00D849B3"/>
    <w:rsid w:val="00D8685D"/>
    <w:rsid w:val="00D86952"/>
    <w:rsid w:val="00D91FBF"/>
    <w:rsid w:val="00D925A0"/>
    <w:rsid w:val="00D93EC9"/>
    <w:rsid w:val="00D94E2B"/>
    <w:rsid w:val="00D95AA6"/>
    <w:rsid w:val="00DB02FF"/>
    <w:rsid w:val="00DB0B6B"/>
    <w:rsid w:val="00DB2BCA"/>
    <w:rsid w:val="00DB3733"/>
    <w:rsid w:val="00DB5EFE"/>
    <w:rsid w:val="00DC15A6"/>
    <w:rsid w:val="00DC1CCC"/>
    <w:rsid w:val="00DC420B"/>
    <w:rsid w:val="00DC459E"/>
    <w:rsid w:val="00DC50CA"/>
    <w:rsid w:val="00DC55B4"/>
    <w:rsid w:val="00DC6D3C"/>
    <w:rsid w:val="00DD04C9"/>
    <w:rsid w:val="00DD1836"/>
    <w:rsid w:val="00DD3BFD"/>
    <w:rsid w:val="00DD6090"/>
    <w:rsid w:val="00DD6BAF"/>
    <w:rsid w:val="00DD79D1"/>
    <w:rsid w:val="00DE0DAA"/>
    <w:rsid w:val="00DE2F65"/>
    <w:rsid w:val="00DE30F1"/>
    <w:rsid w:val="00DE4353"/>
    <w:rsid w:val="00DE4B43"/>
    <w:rsid w:val="00DE6210"/>
    <w:rsid w:val="00DF06EE"/>
    <w:rsid w:val="00DF1848"/>
    <w:rsid w:val="00DF1A87"/>
    <w:rsid w:val="00DF495F"/>
    <w:rsid w:val="00E005A7"/>
    <w:rsid w:val="00E03D5B"/>
    <w:rsid w:val="00E0562B"/>
    <w:rsid w:val="00E11424"/>
    <w:rsid w:val="00E13483"/>
    <w:rsid w:val="00E17084"/>
    <w:rsid w:val="00E20D80"/>
    <w:rsid w:val="00E21C45"/>
    <w:rsid w:val="00E2373F"/>
    <w:rsid w:val="00E248D1"/>
    <w:rsid w:val="00E254E9"/>
    <w:rsid w:val="00E335F1"/>
    <w:rsid w:val="00E36971"/>
    <w:rsid w:val="00E47387"/>
    <w:rsid w:val="00E51833"/>
    <w:rsid w:val="00E52EC9"/>
    <w:rsid w:val="00E543FB"/>
    <w:rsid w:val="00E55618"/>
    <w:rsid w:val="00E5784D"/>
    <w:rsid w:val="00E64502"/>
    <w:rsid w:val="00E6717A"/>
    <w:rsid w:val="00E6745F"/>
    <w:rsid w:val="00E71F81"/>
    <w:rsid w:val="00E74206"/>
    <w:rsid w:val="00E76F39"/>
    <w:rsid w:val="00E8332F"/>
    <w:rsid w:val="00E86136"/>
    <w:rsid w:val="00E865EB"/>
    <w:rsid w:val="00E86BE5"/>
    <w:rsid w:val="00E8771F"/>
    <w:rsid w:val="00E90995"/>
    <w:rsid w:val="00E96853"/>
    <w:rsid w:val="00EA6A34"/>
    <w:rsid w:val="00EA795F"/>
    <w:rsid w:val="00EB2074"/>
    <w:rsid w:val="00EB33D4"/>
    <w:rsid w:val="00EB7FA9"/>
    <w:rsid w:val="00ED0A05"/>
    <w:rsid w:val="00ED156B"/>
    <w:rsid w:val="00ED29DF"/>
    <w:rsid w:val="00ED376F"/>
    <w:rsid w:val="00ED47CB"/>
    <w:rsid w:val="00ED7E83"/>
    <w:rsid w:val="00EE4290"/>
    <w:rsid w:val="00EF24DA"/>
    <w:rsid w:val="00EF7452"/>
    <w:rsid w:val="00EF7EFA"/>
    <w:rsid w:val="00F05388"/>
    <w:rsid w:val="00F06980"/>
    <w:rsid w:val="00F16F66"/>
    <w:rsid w:val="00F20D23"/>
    <w:rsid w:val="00F246D7"/>
    <w:rsid w:val="00F267E7"/>
    <w:rsid w:val="00F32DEE"/>
    <w:rsid w:val="00F458CE"/>
    <w:rsid w:val="00F463E5"/>
    <w:rsid w:val="00F533A7"/>
    <w:rsid w:val="00F558A1"/>
    <w:rsid w:val="00F5643D"/>
    <w:rsid w:val="00F61C3A"/>
    <w:rsid w:val="00F646F8"/>
    <w:rsid w:val="00F64E3C"/>
    <w:rsid w:val="00F716EC"/>
    <w:rsid w:val="00F72F82"/>
    <w:rsid w:val="00F75759"/>
    <w:rsid w:val="00F76304"/>
    <w:rsid w:val="00F80363"/>
    <w:rsid w:val="00F91047"/>
    <w:rsid w:val="00F92421"/>
    <w:rsid w:val="00F94D53"/>
    <w:rsid w:val="00F9753D"/>
    <w:rsid w:val="00FA155E"/>
    <w:rsid w:val="00FA1789"/>
    <w:rsid w:val="00FA3DC4"/>
    <w:rsid w:val="00FA5AB2"/>
    <w:rsid w:val="00FA713A"/>
    <w:rsid w:val="00FA7D78"/>
    <w:rsid w:val="00FB2FC8"/>
    <w:rsid w:val="00FB411B"/>
    <w:rsid w:val="00FB4B49"/>
    <w:rsid w:val="00FB6EA3"/>
    <w:rsid w:val="00FB7EB6"/>
    <w:rsid w:val="00FC1D28"/>
    <w:rsid w:val="00FD04B9"/>
    <w:rsid w:val="00FD14DB"/>
    <w:rsid w:val="00FD4652"/>
    <w:rsid w:val="00FE6351"/>
    <w:rsid w:val="00FE7597"/>
    <w:rsid w:val="00FE7CC9"/>
    <w:rsid w:val="00FF429D"/>
    <w:rsid w:val="00FF449F"/>
    <w:rsid w:val="00FF7283"/>
    <w:rsid w:val="00FF74F9"/>
    <w:rsid w:val="00FF76A5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4FC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F3D"/>
  </w:style>
  <w:style w:type="paragraph" w:styleId="Heading1">
    <w:name w:val="heading 1"/>
    <w:basedOn w:val="Normal"/>
    <w:next w:val="Normal"/>
    <w:link w:val="Heading1Char"/>
    <w:uiPriority w:val="9"/>
    <w:qFormat/>
    <w:rsid w:val="00B30047"/>
    <w:pPr>
      <w:keepNext/>
      <w:keepLines/>
      <w:spacing w:before="240" w:after="0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6971"/>
    <w:pPr>
      <w:keepNext/>
      <w:keepLines/>
      <w:spacing w:before="40" w:after="0"/>
      <w:outlineLvl w:val="2"/>
    </w:pPr>
    <w:rPr>
      <w:rFonts w:eastAsiaTheme="majorEastAsia" w:cstheme="majorBidi"/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77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57C1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57C1"/>
    <w:rPr>
      <w:rFonts w:eastAsiaTheme="majorEastAsia" w:cstheme="majorBidi"/>
      <w:b/>
      <w:spacing w:val="-10"/>
      <w:kern w:val="28"/>
      <w:sz w:val="32"/>
      <w:szCs w:val="56"/>
    </w:rPr>
  </w:style>
  <w:style w:type="character" w:styleId="Strong">
    <w:name w:val="Strong"/>
    <w:basedOn w:val="DefaultParagraphFont"/>
    <w:uiPriority w:val="22"/>
    <w:qFormat/>
    <w:rsid w:val="00473EBA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F05388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6D4FD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D4FD7"/>
  </w:style>
  <w:style w:type="character" w:customStyle="1" w:styleId="EndNoteBibliographyTitleChar">
    <w:name w:val="EndNote Bibliography Title Char"/>
    <w:basedOn w:val="ListParagraphChar"/>
    <w:link w:val="EndNoteBibliographyTitle"/>
    <w:rsid w:val="006D4FD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D4FD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6D4FD7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6D4F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4FD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4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4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4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C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30047"/>
    <w:rPr>
      <w:rFonts w:eastAsiaTheme="majorEastAsia" w:cstheme="majorBidi"/>
      <w:b/>
      <w: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6971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6971"/>
    <w:rPr>
      <w:rFonts w:eastAsiaTheme="majorEastAsia" w:cstheme="majorBidi"/>
      <w:b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6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4B"/>
  </w:style>
  <w:style w:type="paragraph" w:styleId="Footer">
    <w:name w:val="footer"/>
    <w:basedOn w:val="Normal"/>
    <w:link w:val="FooterChar"/>
    <w:uiPriority w:val="99"/>
    <w:unhideWhenUsed/>
    <w:rsid w:val="001A6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4B"/>
  </w:style>
  <w:style w:type="character" w:customStyle="1" w:styleId="Heading4Char">
    <w:name w:val="Heading 4 Char"/>
    <w:basedOn w:val="DefaultParagraphFont"/>
    <w:link w:val="Heading4"/>
    <w:uiPriority w:val="9"/>
    <w:semiHidden/>
    <w:rsid w:val="001177C9"/>
    <w:rPr>
      <w:rFonts w:asciiTheme="majorHAnsi" w:eastAsiaTheme="majorEastAsia" w:hAnsiTheme="majorHAnsi" w:cstheme="majorBidi"/>
      <w:i/>
      <w:iCs/>
    </w:rPr>
  </w:style>
  <w:style w:type="table" w:customStyle="1" w:styleId="TableGrid2">
    <w:name w:val="Table Grid2"/>
    <w:basedOn w:val="TableNormal"/>
    <w:next w:val="TableGrid"/>
    <w:uiPriority w:val="59"/>
    <w:rsid w:val="007F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C60F8"/>
    <w:pPr>
      <w:spacing w:after="0" w:line="240" w:lineRule="auto"/>
    </w:pPr>
  </w:style>
  <w:style w:type="paragraph" w:styleId="NoSpacing">
    <w:name w:val="No Spacing"/>
    <w:uiPriority w:val="1"/>
    <w:qFormat/>
    <w:rsid w:val="00840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EB843-5A92-4508-A6CF-F7823F98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2019-06-04T10:14:00Z</dcterms:created>
  <dcterms:modified xsi:type="dcterms:W3CDTF">2019-06-04T12:32:00Z</dcterms:modified>
</cp:coreProperties>
</file>